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C49861" w14:textId="77777777" w:rsidR="00A03AE9" w:rsidRDefault="00A03AE9">
      <w:pPr>
        <w:pStyle w:val="Heading1"/>
      </w:pPr>
    </w:p>
    <w:p w14:paraId="5D169A2D" w14:textId="77777777" w:rsidR="00A03AE9" w:rsidRDefault="00000000">
      <w:pPr>
        <w:pBdr>
          <w:top w:val="nil"/>
          <w:left w:val="nil"/>
          <w:bottom w:val="nil"/>
          <w:right w:val="nil"/>
          <w:between w:val="nil"/>
        </w:pBdr>
        <w:spacing w:line="288" w:lineRule="auto"/>
        <w:jc w:val="center"/>
        <w:rPr>
          <w:rFonts w:ascii="Arial" w:eastAsia="Arial" w:hAnsi="Arial" w:cs="Arial"/>
          <w:b/>
          <w:color w:val="000000"/>
          <w:sz w:val="40"/>
          <w:szCs w:val="40"/>
        </w:rPr>
      </w:pPr>
      <w:r>
        <w:rPr>
          <w:rFonts w:ascii="Arial" w:eastAsia="Arial" w:hAnsi="Arial" w:cs="Arial"/>
          <w:b/>
          <w:noProof/>
          <w:color w:val="000000"/>
          <w:sz w:val="40"/>
          <w:szCs w:val="40"/>
        </w:rPr>
        <w:drawing>
          <wp:inline distT="0" distB="0" distL="0" distR="0" wp14:anchorId="08D0FA12" wp14:editId="54164CEB">
            <wp:extent cx="4467498" cy="689882"/>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4467498" cy="689882"/>
                    </a:xfrm>
                    <a:prstGeom prst="rect">
                      <a:avLst/>
                    </a:prstGeom>
                    <a:ln/>
                  </pic:spPr>
                </pic:pic>
              </a:graphicData>
            </a:graphic>
          </wp:inline>
        </w:drawing>
      </w:r>
    </w:p>
    <w:p w14:paraId="4725A17D" w14:textId="77777777" w:rsidR="00A03AE9" w:rsidRDefault="00A03AE9">
      <w:pPr>
        <w:pBdr>
          <w:top w:val="nil"/>
          <w:left w:val="nil"/>
          <w:bottom w:val="nil"/>
          <w:right w:val="nil"/>
          <w:between w:val="nil"/>
        </w:pBdr>
        <w:spacing w:line="288" w:lineRule="auto"/>
        <w:rPr>
          <w:rFonts w:ascii="Arial" w:eastAsia="Arial" w:hAnsi="Arial" w:cs="Arial"/>
          <w:b/>
          <w:color w:val="000000"/>
          <w:sz w:val="40"/>
          <w:szCs w:val="40"/>
        </w:rPr>
      </w:pPr>
    </w:p>
    <w:p w14:paraId="09B11CE5" w14:textId="77777777" w:rsidR="00A03AE9" w:rsidRDefault="00000000">
      <w:pPr>
        <w:pBdr>
          <w:top w:val="nil"/>
          <w:left w:val="nil"/>
          <w:bottom w:val="nil"/>
          <w:right w:val="nil"/>
          <w:between w:val="nil"/>
        </w:pBdr>
        <w:spacing w:line="288" w:lineRule="auto"/>
        <w:jc w:val="center"/>
        <w:rPr>
          <w:rFonts w:ascii="Arial" w:eastAsia="Arial" w:hAnsi="Arial" w:cs="Arial"/>
          <w:b/>
          <w:color w:val="000000"/>
          <w:sz w:val="40"/>
          <w:szCs w:val="40"/>
        </w:rPr>
      </w:pPr>
      <w:r>
        <w:rPr>
          <w:rFonts w:ascii="Arial" w:eastAsia="Arial" w:hAnsi="Arial" w:cs="Arial"/>
          <w:b/>
          <w:color w:val="000000"/>
          <w:sz w:val="40"/>
          <w:szCs w:val="40"/>
        </w:rPr>
        <w:t>PGCE Safeguarding Policy</w:t>
      </w:r>
    </w:p>
    <w:p w14:paraId="6AAE208E" w14:textId="77777777" w:rsidR="00A03AE9" w:rsidRDefault="00000000">
      <w:pPr>
        <w:pBdr>
          <w:top w:val="nil"/>
          <w:left w:val="nil"/>
          <w:bottom w:val="nil"/>
          <w:right w:val="nil"/>
          <w:between w:val="nil"/>
        </w:pBdr>
        <w:spacing w:line="288" w:lineRule="auto"/>
        <w:jc w:val="center"/>
        <w:rPr>
          <w:rFonts w:ascii="Arial" w:eastAsia="Arial" w:hAnsi="Arial" w:cs="Arial"/>
          <w:b/>
          <w:color w:val="000000"/>
          <w:sz w:val="40"/>
          <w:szCs w:val="40"/>
        </w:rPr>
      </w:pPr>
      <w:r>
        <w:rPr>
          <w:rFonts w:ascii="Arial" w:eastAsia="Arial" w:hAnsi="Arial" w:cs="Arial"/>
          <w:b/>
          <w:color w:val="000000"/>
          <w:sz w:val="40"/>
          <w:szCs w:val="40"/>
        </w:rPr>
        <w:t>(for PGCE website Mentor Area)</w:t>
      </w:r>
    </w:p>
    <w:p w14:paraId="3523DD99" w14:textId="77777777" w:rsidR="00A03AE9" w:rsidRDefault="00A03AE9">
      <w:pPr>
        <w:pBdr>
          <w:top w:val="nil"/>
          <w:left w:val="nil"/>
          <w:bottom w:val="nil"/>
          <w:right w:val="nil"/>
          <w:between w:val="nil"/>
        </w:pBdr>
        <w:spacing w:line="288" w:lineRule="auto"/>
        <w:rPr>
          <w:rFonts w:ascii="Arial" w:eastAsia="Arial" w:hAnsi="Arial" w:cs="Arial"/>
          <w:color w:val="000000"/>
          <w:sz w:val="20"/>
          <w:szCs w:val="20"/>
        </w:rPr>
      </w:pPr>
    </w:p>
    <w:p w14:paraId="3BF913A5" w14:textId="77777777" w:rsidR="00A03AE9" w:rsidRDefault="00000000">
      <w:pPr>
        <w:pBdr>
          <w:top w:val="nil"/>
          <w:left w:val="nil"/>
          <w:bottom w:val="nil"/>
          <w:right w:val="nil"/>
          <w:between w:val="nil"/>
        </w:pBdr>
        <w:spacing w:line="288" w:lineRule="auto"/>
        <w:ind w:left="-284"/>
        <w:jc w:val="center"/>
        <w:rPr>
          <w:rFonts w:ascii="Arial" w:eastAsia="Arial" w:hAnsi="Arial" w:cs="Arial"/>
          <w:b/>
          <w:color w:val="000000"/>
          <w:sz w:val="40"/>
          <w:szCs w:val="40"/>
        </w:rPr>
      </w:pPr>
      <w:r>
        <w:rPr>
          <w:rFonts w:ascii="Arial" w:eastAsia="Arial" w:hAnsi="Arial" w:cs="Arial"/>
          <w:b/>
          <w:noProof/>
          <w:color w:val="000000"/>
          <w:sz w:val="40"/>
          <w:szCs w:val="40"/>
        </w:rPr>
        <w:drawing>
          <wp:inline distT="0" distB="0" distL="0" distR="0" wp14:anchorId="7691BF0A" wp14:editId="505AE382">
            <wp:extent cx="5753100" cy="3753485"/>
            <wp:effectExtent l="127000" t="127000" r="127000" b="127000"/>
            <wp:docPr id="2" name="image2.png" descr="Picture of university"/>
            <wp:cNvGraphicFramePr/>
            <a:graphic xmlns:a="http://schemas.openxmlformats.org/drawingml/2006/main">
              <a:graphicData uri="http://schemas.openxmlformats.org/drawingml/2006/picture">
                <pic:pic xmlns:pic="http://schemas.openxmlformats.org/drawingml/2006/picture">
                  <pic:nvPicPr>
                    <pic:cNvPr id="0" name="image2.png" descr="Picture of university"/>
                    <pic:cNvPicPr preferRelativeResize="0"/>
                  </pic:nvPicPr>
                  <pic:blipFill>
                    <a:blip r:embed="rId8"/>
                    <a:srcRect/>
                    <a:stretch>
                      <a:fillRect/>
                    </a:stretch>
                  </pic:blipFill>
                  <pic:spPr>
                    <a:xfrm>
                      <a:off x="0" y="0"/>
                      <a:ext cx="5753100" cy="3753485"/>
                    </a:xfrm>
                    <a:prstGeom prst="rect">
                      <a:avLst/>
                    </a:prstGeom>
                    <a:ln w="127000">
                      <a:solidFill>
                        <a:srgbClr val="000000"/>
                      </a:solidFill>
                      <a:prstDash val="solid"/>
                    </a:ln>
                  </pic:spPr>
                </pic:pic>
              </a:graphicData>
            </a:graphic>
          </wp:inline>
        </w:drawing>
      </w:r>
    </w:p>
    <w:p w14:paraId="5D736B58" w14:textId="77777777" w:rsidR="00A03AE9" w:rsidRDefault="00A03AE9">
      <w:pPr>
        <w:pBdr>
          <w:top w:val="nil"/>
          <w:left w:val="nil"/>
          <w:bottom w:val="nil"/>
          <w:right w:val="nil"/>
          <w:between w:val="nil"/>
        </w:pBdr>
        <w:spacing w:line="288" w:lineRule="auto"/>
        <w:jc w:val="center"/>
        <w:rPr>
          <w:rFonts w:ascii="Arial" w:eastAsia="Arial" w:hAnsi="Arial" w:cs="Arial"/>
          <w:b/>
          <w:color w:val="000000"/>
          <w:sz w:val="40"/>
          <w:szCs w:val="40"/>
        </w:rPr>
      </w:pPr>
    </w:p>
    <w:p w14:paraId="2FE9F6F8" w14:textId="77777777" w:rsidR="00A03AE9" w:rsidRDefault="00A03AE9">
      <w:pPr>
        <w:pBdr>
          <w:top w:val="nil"/>
          <w:left w:val="nil"/>
          <w:bottom w:val="nil"/>
          <w:right w:val="nil"/>
          <w:between w:val="nil"/>
        </w:pBdr>
        <w:spacing w:line="288" w:lineRule="auto"/>
        <w:jc w:val="center"/>
        <w:rPr>
          <w:rFonts w:ascii="Arial" w:eastAsia="Arial" w:hAnsi="Arial" w:cs="Arial"/>
          <w:b/>
          <w:color w:val="000000"/>
          <w:sz w:val="40"/>
          <w:szCs w:val="40"/>
        </w:rPr>
      </w:pPr>
    </w:p>
    <w:p w14:paraId="3DB4666E" w14:textId="77777777" w:rsidR="00A03AE9" w:rsidRDefault="00000000">
      <w:pPr>
        <w:pBdr>
          <w:top w:val="nil"/>
          <w:left w:val="nil"/>
          <w:bottom w:val="nil"/>
          <w:right w:val="nil"/>
          <w:between w:val="nil"/>
        </w:pBdr>
        <w:spacing w:line="288" w:lineRule="auto"/>
        <w:jc w:val="center"/>
        <w:rPr>
          <w:rFonts w:ascii="Arial" w:eastAsia="Arial" w:hAnsi="Arial" w:cs="Arial"/>
          <w:b/>
          <w:color w:val="000000"/>
          <w:sz w:val="40"/>
          <w:szCs w:val="40"/>
        </w:rPr>
      </w:pPr>
      <w:r>
        <w:rPr>
          <w:rFonts w:ascii="Arial" w:eastAsia="Arial" w:hAnsi="Arial" w:cs="Arial"/>
          <w:b/>
          <w:color w:val="000000"/>
          <w:sz w:val="40"/>
          <w:szCs w:val="40"/>
        </w:rPr>
        <w:t>11-16 PGCE</w:t>
      </w:r>
    </w:p>
    <w:p w14:paraId="4CCA57BC" w14:textId="77777777" w:rsidR="00A03AE9" w:rsidRDefault="00000000">
      <w:pPr>
        <w:pBdr>
          <w:top w:val="nil"/>
          <w:left w:val="nil"/>
          <w:bottom w:val="nil"/>
          <w:right w:val="nil"/>
          <w:between w:val="nil"/>
        </w:pBdr>
        <w:spacing w:line="288" w:lineRule="auto"/>
        <w:jc w:val="center"/>
        <w:rPr>
          <w:rFonts w:ascii="Arial" w:eastAsia="Arial" w:hAnsi="Arial" w:cs="Arial"/>
          <w:b/>
          <w:color w:val="000000"/>
          <w:sz w:val="40"/>
          <w:szCs w:val="40"/>
        </w:rPr>
      </w:pPr>
      <w:r>
        <w:rPr>
          <w:rFonts w:ascii="Arial" w:eastAsia="Arial" w:hAnsi="Arial" w:cs="Arial"/>
          <w:b/>
          <w:color w:val="000000"/>
          <w:sz w:val="40"/>
          <w:szCs w:val="40"/>
        </w:rPr>
        <w:t>(with Post-16 Enhancement)</w:t>
      </w:r>
    </w:p>
    <w:p w14:paraId="0994B5F8" w14:textId="77777777" w:rsidR="00A03AE9" w:rsidRDefault="00A03AE9">
      <w:pPr>
        <w:pBdr>
          <w:top w:val="nil"/>
          <w:left w:val="nil"/>
          <w:bottom w:val="nil"/>
          <w:right w:val="nil"/>
          <w:between w:val="nil"/>
        </w:pBdr>
        <w:spacing w:line="288" w:lineRule="auto"/>
        <w:rPr>
          <w:rFonts w:ascii="Arial" w:eastAsia="Arial" w:hAnsi="Arial" w:cs="Arial"/>
          <w:b/>
          <w:sz w:val="40"/>
          <w:szCs w:val="40"/>
        </w:rPr>
      </w:pPr>
    </w:p>
    <w:p w14:paraId="2915A970" w14:textId="77777777" w:rsidR="00A03AE9" w:rsidRDefault="00000000">
      <w:pPr>
        <w:jc w:val="right"/>
        <w:rPr>
          <w:rFonts w:ascii="Arial" w:eastAsia="Arial" w:hAnsi="Arial" w:cs="Arial"/>
          <w:b/>
          <w:sz w:val="20"/>
          <w:szCs w:val="20"/>
        </w:rPr>
      </w:pPr>
      <w:r>
        <w:rPr>
          <w:rFonts w:ascii="Arial" w:eastAsia="Arial" w:hAnsi="Arial" w:cs="Arial"/>
          <w:b/>
          <w:sz w:val="20"/>
          <w:szCs w:val="20"/>
        </w:rPr>
        <w:t>Last reviewed - August 2023</w:t>
      </w:r>
    </w:p>
    <w:p w14:paraId="3F11E5F6" w14:textId="77777777" w:rsidR="00A03AE9" w:rsidRDefault="00000000">
      <w:pPr>
        <w:jc w:val="right"/>
        <w:rPr>
          <w:color w:val="2F5496"/>
          <w:sz w:val="32"/>
          <w:szCs w:val="32"/>
        </w:rPr>
      </w:pPr>
      <w:r>
        <w:rPr>
          <w:rFonts w:ascii="Arial" w:eastAsia="Arial" w:hAnsi="Arial" w:cs="Arial"/>
          <w:b/>
          <w:sz w:val="20"/>
          <w:szCs w:val="20"/>
        </w:rPr>
        <w:t>Next review - August 2024</w:t>
      </w:r>
      <w:r>
        <w:br w:type="page"/>
      </w:r>
    </w:p>
    <w:p w14:paraId="2CAFD1A8" w14:textId="77777777" w:rsidR="00A03AE9" w:rsidRDefault="00000000">
      <w:pPr>
        <w:keepNext/>
        <w:keepLines/>
        <w:pBdr>
          <w:top w:val="nil"/>
          <w:left w:val="nil"/>
          <w:bottom w:val="nil"/>
          <w:right w:val="nil"/>
          <w:between w:val="nil"/>
        </w:pBdr>
        <w:spacing w:before="480" w:line="276" w:lineRule="auto"/>
        <w:rPr>
          <w:b/>
          <w:color w:val="2F5496"/>
          <w:sz w:val="28"/>
          <w:szCs w:val="28"/>
        </w:rPr>
      </w:pPr>
      <w:r>
        <w:rPr>
          <w:b/>
          <w:color w:val="2F5496"/>
          <w:sz w:val="28"/>
          <w:szCs w:val="28"/>
        </w:rPr>
        <w:lastRenderedPageBreak/>
        <w:t>Table of Contents</w:t>
      </w:r>
    </w:p>
    <w:bookmarkStart w:id="0" w:name="_gjdgxs" w:colFirst="0" w:colLast="0" w:displacedByCustomXml="next"/>
    <w:bookmarkEnd w:id="0" w:displacedByCustomXml="next"/>
    <w:sdt>
      <w:sdtPr>
        <w:id w:val="1899084215"/>
        <w:docPartObj>
          <w:docPartGallery w:val="Table of Contents"/>
          <w:docPartUnique/>
        </w:docPartObj>
      </w:sdtPr>
      <w:sdtContent>
        <w:p w14:paraId="59B8057B" w14:textId="200F7D72" w:rsidR="002E3438" w:rsidRDefault="00000000">
          <w:pPr>
            <w:pStyle w:val="TOC1"/>
            <w:tabs>
              <w:tab w:val="right" w:pos="9010"/>
            </w:tabs>
            <w:rPr>
              <w:rFonts w:asciiTheme="minorHAnsi" w:eastAsiaTheme="minorEastAsia" w:hAnsiTheme="minorHAnsi" w:cstheme="minorBidi"/>
              <w:noProof/>
              <w:kern w:val="2"/>
              <w14:ligatures w14:val="standardContextual"/>
            </w:rPr>
          </w:pPr>
          <w:r>
            <w:fldChar w:fldCharType="begin"/>
          </w:r>
          <w:r>
            <w:instrText xml:space="preserve"> TOC \h \u \z \t "Heading 1,1,Heading 2,2,Heading 3,3,Heading 4,4,Heading 5,5,Heading 6,6,"</w:instrText>
          </w:r>
          <w:r>
            <w:fldChar w:fldCharType="separate"/>
          </w:r>
          <w:hyperlink w:anchor="_Toc172035132" w:history="1">
            <w:r w:rsidR="002E3438" w:rsidRPr="009A1A88">
              <w:rPr>
                <w:rStyle w:val="Hyperlink"/>
                <w:noProof/>
              </w:rPr>
              <w:t>University of York Safeguarding Policy</w:t>
            </w:r>
            <w:r w:rsidR="002E3438">
              <w:rPr>
                <w:noProof/>
                <w:webHidden/>
              </w:rPr>
              <w:tab/>
            </w:r>
            <w:r w:rsidR="002E3438">
              <w:rPr>
                <w:noProof/>
                <w:webHidden/>
              </w:rPr>
              <w:fldChar w:fldCharType="begin"/>
            </w:r>
            <w:r w:rsidR="002E3438">
              <w:rPr>
                <w:noProof/>
                <w:webHidden/>
              </w:rPr>
              <w:instrText xml:space="preserve"> PAGEREF _Toc172035132 \h </w:instrText>
            </w:r>
            <w:r w:rsidR="002E3438">
              <w:rPr>
                <w:noProof/>
                <w:webHidden/>
              </w:rPr>
            </w:r>
            <w:r w:rsidR="002E3438">
              <w:rPr>
                <w:noProof/>
                <w:webHidden/>
              </w:rPr>
              <w:fldChar w:fldCharType="separate"/>
            </w:r>
            <w:r w:rsidR="002E3438">
              <w:rPr>
                <w:noProof/>
                <w:webHidden/>
              </w:rPr>
              <w:t>3</w:t>
            </w:r>
            <w:r w:rsidR="002E3438">
              <w:rPr>
                <w:noProof/>
                <w:webHidden/>
              </w:rPr>
              <w:fldChar w:fldCharType="end"/>
            </w:r>
          </w:hyperlink>
        </w:p>
        <w:p w14:paraId="03B72777" w14:textId="0A9768BC" w:rsidR="002E3438" w:rsidRDefault="002E3438">
          <w:pPr>
            <w:pStyle w:val="TOC2"/>
            <w:tabs>
              <w:tab w:val="right" w:pos="9010"/>
            </w:tabs>
            <w:rPr>
              <w:rFonts w:asciiTheme="minorHAnsi" w:eastAsiaTheme="minorEastAsia" w:hAnsiTheme="minorHAnsi" w:cstheme="minorBidi"/>
              <w:noProof/>
              <w:kern w:val="2"/>
              <w14:ligatures w14:val="standardContextual"/>
            </w:rPr>
          </w:pPr>
          <w:hyperlink w:anchor="_Toc172035133" w:history="1">
            <w:r w:rsidRPr="009A1A88">
              <w:rPr>
                <w:rStyle w:val="Hyperlink"/>
                <w:noProof/>
              </w:rPr>
              <w:t>Introduction</w:t>
            </w:r>
            <w:r>
              <w:rPr>
                <w:noProof/>
                <w:webHidden/>
              </w:rPr>
              <w:tab/>
            </w:r>
            <w:r>
              <w:rPr>
                <w:noProof/>
                <w:webHidden/>
              </w:rPr>
              <w:fldChar w:fldCharType="begin"/>
            </w:r>
            <w:r>
              <w:rPr>
                <w:noProof/>
                <w:webHidden/>
              </w:rPr>
              <w:instrText xml:space="preserve"> PAGEREF _Toc172035133 \h </w:instrText>
            </w:r>
            <w:r>
              <w:rPr>
                <w:noProof/>
                <w:webHidden/>
              </w:rPr>
            </w:r>
            <w:r>
              <w:rPr>
                <w:noProof/>
                <w:webHidden/>
              </w:rPr>
              <w:fldChar w:fldCharType="separate"/>
            </w:r>
            <w:r>
              <w:rPr>
                <w:noProof/>
                <w:webHidden/>
              </w:rPr>
              <w:t>3</w:t>
            </w:r>
            <w:r>
              <w:rPr>
                <w:noProof/>
                <w:webHidden/>
              </w:rPr>
              <w:fldChar w:fldCharType="end"/>
            </w:r>
          </w:hyperlink>
        </w:p>
        <w:p w14:paraId="2471A34D" w14:textId="21EACB6F" w:rsidR="002E3438" w:rsidRDefault="002E3438">
          <w:pPr>
            <w:pStyle w:val="TOC2"/>
            <w:tabs>
              <w:tab w:val="right" w:pos="9010"/>
            </w:tabs>
            <w:rPr>
              <w:rFonts w:asciiTheme="minorHAnsi" w:eastAsiaTheme="minorEastAsia" w:hAnsiTheme="minorHAnsi" w:cstheme="minorBidi"/>
              <w:noProof/>
              <w:kern w:val="2"/>
              <w14:ligatures w14:val="standardContextual"/>
            </w:rPr>
          </w:pPr>
          <w:hyperlink w:anchor="_Toc172035134" w:history="1">
            <w:r w:rsidRPr="009A1A88">
              <w:rPr>
                <w:rStyle w:val="Hyperlink"/>
                <w:noProof/>
              </w:rPr>
              <w:t>Health and Physical Capacity to Train to Teach</w:t>
            </w:r>
            <w:r>
              <w:rPr>
                <w:noProof/>
                <w:webHidden/>
              </w:rPr>
              <w:tab/>
            </w:r>
            <w:r>
              <w:rPr>
                <w:noProof/>
                <w:webHidden/>
              </w:rPr>
              <w:fldChar w:fldCharType="begin"/>
            </w:r>
            <w:r>
              <w:rPr>
                <w:noProof/>
                <w:webHidden/>
              </w:rPr>
              <w:instrText xml:space="preserve"> PAGEREF _Toc172035134 \h </w:instrText>
            </w:r>
            <w:r>
              <w:rPr>
                <w:noProof/>
                <w:webHidden/>
              </w:rPr>
            </w:r>
            <w:r>
              <w:rPr>
                <w:noProof/>
                <w:webHidden/>
              </w:rPr>
              <w:fldChar w:fldCharType="separate"/>
            </w:r>
            <w:r>
              <w:rPr>
                <w:noProof/>
                <w:webHidden/>
              </w:rPr>
              <w:t>3</w:t>
            </w:r>
            <w:r>
              <w:rPr>
                <w:noProof/>
                <w:webHidden/>
              </w:rPr>
              <w:fldChar w:fldCharType="end"/>
            </w:r>
          </w:hyperlink>
        </w:p>
        <w:p w14:paraId="369274C0" w14:textId="3FF7CC42" w:rsidR="002E3438" w:rsidRDefault="002E3438">
          <w:pPr>
            <w:pStyle w:val="TOC2"/>
            <w:tabs>
              <w:tab w:val="right" w:pos="9010"/>
            </w:tabs>
            <w:rPr>
              <w:rFonts w:asciiTheme="minorHAnsi" w:eastAsiaTheme="minorEastAsia" w:hAnsiTheme="minorHAnsi" w:cstheme="minorBidi"/>
              <w:noProof/>
              <w:kern w:val="2"/>
              <w14:ligatures w14:val="standardContextual"/>
            </w:rPr>
          </w:pPr>
          <w:hyperlink w:anchor="_Toc172035135" w:history="1">
            <w:r w:rsidRPr="009A1A88">
              <w:rPr>
                <w:rStyle w:val="Hyperlink"/>
                <w:noProof/>
              </w:rPr>
              <w:t>Disclosure and Barring Service Checks</w:t>
            </w:r>
            <w:r>
              <w:rPr>
                <w:noProof/>
                <w:webHidden/>
              </w:rPr>
              <w:tab/>
            </w:r>
            <w:r>
              <w:rPr>
                <w:noProof/>
                <w:webHidden/>
              </w:rPr>
              <w:fldChar w:fldCharType="begin"/>
            </w:r>
            <w:r>
              <w:rPr>
                <w:noProof/>
                <w:webHidden/>
              </w:rPr>
              <w:instrText xml:space="preserve"> PAGEREF _Toc172035135 \h </w:instrText>
            </w:r>
            <w:r>
              <w:rPr>
                <w:noProof/>
                <w:webHidden/>
              </w:rPr>
            </w:r>
            <w:r>
              <w:rPr>
                <w:noProof/>
                <w:webHidden/>
              </w:rPr>
              <w:fldChar w:fldCharType="separate"/>
            </w:r>
            <w:r>
              <w:rPr>
                <w:noProof/>
                <w:webHidden/>
              </w:rPr>
              <w:t>3</w:t>
            </w:r>
            <w:r>
              <w:rPr>
                <w:noProof/>
                <w:webHidden/>
              </w:rPr>
              <w:fldChar w:fldCharType="end"/>
            </w:r>
          </w:hyperlink>
        </w:p>
        <w:p w14:paraId="2B95B0EF" w14:textId="72AAD107" w:rsidR="002E3438" w:rsidRDefault="002E3438">
          <w:pPr>
            <w:pStyle w:val="TOC2"/>
            <w:tabs>
              <w:tab w:val="right" w:pos="9010"/>
            </w:tabs>
            <w:rPr>
              <w:rFonts w:asciiTheme="minorHAnsi" w:eastAsiaTheme="minorEastAsia" w:hAnsiTheme="minorHAnsi" w:cstheme="minorBidi"/>
              <w:noProof/>
              <w:kern w:val="2"/>
              <w14:ligatures w14:val="standardContextual"/>
            </w:rPr>
          </w:pPr>
          <w:hyperlink w:anchor="_Toc172035136" w:history="1">
            <w:r w:rsidRPr="009A1A88">
              <w:rPr>
                <w:rStyle w:val="Hyperlink"/>
                <w:noProof/>
              </w:rPr>
              <w:t>Other Background Checks</w:t>
            </w:r>
            <w:r>
              <w:rPr>
                <w:noProof/>
                <w:webHidden/>
              </w:rPr>
              <w:tab/>
            </w:r>
            <w:r>
              <w:rPr>
                <w:noProof/>
                <w:webHidden/>
              </w:rPr>
              <w:fldChar w:fldCharType="begin"/>
            </w:r>
            <w:r>
              <w:rPr>
                <w:noProof/>
                <w:webHidden/>
              </w:rPr>
              <w:instrText xml:space="preserve"> PAGEREF _Toc172035136 \h </w:instrText>
            </w:r>
            <w:r>
              <w:rPr>
                <w:noProof/>
                <w:webHidden/>
              </w:rPr>
            </w:r>
            <w:r>
              <w:rPr>
                <w:noProof/>
                <w:webHidden/>
              </w:rPr>
              <w:fldChar w:fldCharType="separate"/>
            </w:r>
            <w:r>
              <w:rPr>
                <w:noProof/>
                <w:webHidden/>
              </w:rPr>
              <w:t>5</w:t>
            </w:r>
            <w:r>
              <w:rPr>
                <w:noProof/>
                <w:webHidden/>
              </w:rPr>
              <w:fldChar w:fldCharType="end"/>
            </w:r>
          </w:hyperlink>
        </w:p>
        <w:p w14:paraId="28B189BB" w14:textId="46100C1A" w:rsidR="002E3438" w:rsidRDefault="002E3438">
          <w:pPr>
            <w:pStyle w:val="TOC2"/>
            <w:tabs>
              <w:tab w:val="right" w:pos="9010"/>
            </w:tabs>
            <w:rPr>
              <w:rFonts w:asciiTheme="minorHAnsi" w:eastAsiaTheme="minorEastAsia" w:hAnsiTheme="minorHAnsi" w:cstheme="minorBidi"/>
              <w:noProof/>
              <w:kern w:val="2"/>
              <w14:ligatures w14:val="standardContextual"/>
            </w:rPr>
          </w:pPr>
          <w:hyperlink w:anchor="_Toc172035137" w:history="1">
            <w:r w:rsidRPr="009A1A88">
              <w:rPr>
                <w:rStyle w:val="Hyperlink"/>
                <w:noProof/>
              </w:rPr>
              <w:t>Childcare Disqualification</w:t>
            </w:r>
            <w:r>
              <w:rPr>
                <w:noProof/>
                <w:webHidden/>
              </w:rPr>
              <w:tab/>
            </w:r>
            <w:r>
              <w:rPr>
                <w:noProof/>
                <w:webHidden/>
              </w:rPr>
              <w:fldChar w:fldCharType="begin"/>
            </w:r>
            <w:r>
              <w:rPr>
                <w:noProof/>
                <w:webHidden/>
              </w:rPr>
              <w:instrText xml:space="preserve"> PAGEREF _Toc172035137 \h </w:instrText>
            </w:r>
            <w:r>
              <w:rPr>
                <w:noProof/>
                <w:webHidden/>
              </w:rPr>
            </w:r>
            <w:r>
              <w:rPr>
                <w:noProof/>
                <w:webHidden/>
              </w:rPr>
              <w:fldChar w:fldCharType="separate"/>
            </w:r>
            <w:r>
              <w:rPr>
                <w:noProof/>
                <w:webHidden/>
              </w:rPr>
              <w:t>5</w:t>
            </w:r>
            <w:r>
              <w:rPr>
                <w:noProof/>
                <w:webHidden/>
              </w:rPr>
              <w:fldChar w:fldCharType="end"/>
            </w:r>
          </w:hyperlink>
        </w:p>
        <w:p w14:paraId="3DFD9AA8" w14:textId="53E58377" w:rsidR="002E3438" w:rsidRDefault="002E3438">
          <w:pPr>
            <w:pStyle w:val="TOC1"/>
            <w:tabs>
              <w:tab w:val="right" w:pos="9010"/>
            </w:tabs>
            <w:rPr>
              <w:rFonts w:asciiTheme="minorHAnsi" w:eastAsiaTheme="minorEastAsia" w:hAnsiTheme="minorHAnsi" w:cstheme="minorBidi"/>
              <w:noProof/>
              <w:kern w:val="2"/>
              <w14:ligatures w14:val="standardContextual"/>
            </w:rPr>
          </w:pPr>
          <w:hyperlink w:anchor="_Toc172035138" w:history="1">
            <w:r w:rsidRPr="009A1A88">
              <w:rPr>
                <w:rStyle w:val="Hyperlink"/>
                <w:noProof/>
              </w:rPr>
              <w:t>Appendix 1 – Pre-course DBS Panel Policy Procedure</w:t>
            </w:r>
            <w:r>
              <w:rPr>
                <w:noProof/>
                <w:webHidden/>
              </w:rPr>
              <w:tab/>
            </w:r>
            <w:r>
              <w:rPr>
                <w:noProof/>
                <w:webHidden/>
              </w:rPr>
              <w:fldChar w:fldCharType="begin"/>
            </w:r>
            <w:r>
              <w:rPr>
                <w:noProof/>
                <w:webHidden/>
              </w:rPr>
              <w:instrText xml:space="preserve"> PAGEREF _Toc172035138 \h </w:instrText>
            </w:r>
            <w:r>
              <w:rPr>
                <w:noProof/>
                <w:webHidden/>
              </w:rPr>
            </w:r>
            <w:r>
              <w:rPr>
                <w:noProof/>
                <w:webHidden/>
              </w:rPr>
              <w:fldChar w:fldCharType="separate"/>
            </w:r>
            <w:r>
              <w:rPr>
                <w:noProof/>
                <w:webHidden/>
              </w:rPr>
              <w:t>6</w:t>
            </w:r>
            <w:r>
              <w:rPr>
                <w:noProof/>
                <w:webHidden/>
              </w:rPr>
              <w:fldChar w:fldCharType="end"/>
            </w:r>
          </w:hyperlink>
        </w:p>
        <w:p w14:paraId="4523030F" w14:textId="3328885F" w:rsidR="002E3438" w:rsidRDefault="002E3438">
          <w:pPr>
            <w:pStyle w:val="TOC2"/>
            <w:tabs>
              <w:tab w:val="right" w:pos="9010"/>
            </w:tabs>
            <w:rPr>
              <w:rFonts w:asciiTheme="minorHAnsi" w:eastAsiaTheme="minorEastAsia" w:hAnsiTheme="minorHAnsi" w:cstheme="minorBidi"/>
              <w:noProof/>
              <w:kern w:val="2"/>
              <w14:ligatures w14:val="standardContextual"/>
            </w:rPr>
          </w:pPr>
          <w:hyperlink w:anchor="_Toc172035139" w:history="1">
            <w:r w:rsidRPr="009A1A88">
              <w:rPr>
                <w:rStyle w:val="Hyperlink"/>
                <w:noProof/>
              </w:rPr>
              <w:t>The Pre-Course DBS Panel</w:t>
            </w:r>
            <w:r>
              <w:rPr>
                <w:noProof/>
                <w:webHidden/>
              </w:rPr>
              <w:tab/>
            </w:r>
            <w:r>
              <w:rPr>
                <w:noProof/>
                <w:webHidden/>
              </w:rPr>
              <w:fldChar w:fldCharType="begin"/>
            </w:r>
            <w:r>
              <w:rPr>
                <w:noProof/>
                <w:webHidden/>
              </w:rPr>
              <w:instrText xml:space="preserve"> PAGEREF _Toc172035139 \h </w:instrText>
            </w:r>
            <w:r>
              <w:rPr>
                <w:noProof/>
                <w:webHidden/>
              </w:rPr>
            </w:r>
            <w:r>
              <w:rPr>
                <w:noProof/>
                <w:webHidden/>
              </w:rPr>
              <w:fldChar w:fldCharType="separate"/>
            </w:r>
            <w:r>
              <w:rPr>
                <w:noProof/>
                <w:webHidden/>
              </w:rPr>
              <w:t>6</w:t>
            </w:r>
            <w:r>
              <w:rPr>
                <w:noProof/>
                <w:webHidden/>
              </w:rPr>
              <w:fldChar w:fldCharType="end"/>
            </w:r>
          </w:hyperlink>
        </w:p>
        <w:p w14:paraId="6B394318" w14:textId="23F9B148" w:rsidR="002E3438" w:rsidRDefault="002E3438">
          <w:pPr>
            <w:pStyle w:val="TOC2"/>
            <w:tabs>
              <w:tab w:val="right" w:pos="9010"/>
            </w:tabs>
            <w:rPr>
              <w:rFonts w:asciiTheme="minorHAnsi" w:eastAsiaTheme="minorEastAsia" w:hAnsiTheme="minorHAnsi" w:cstheme="minorBidi"/>
              <w:noProof/>
              <w:kern w:val="2"/>
              <w14:ligatures w14:val="standardContextual"/>
            </w:rPr>
          </w:pPr>
          <w:hyperlink w:anchor="_Toc172035140" w:history="1">
            <w:r w:rsidRPr="009A1A88">
              <w:rPr>
                <w:rStyle w:val="Hyperlink"/>
                <w:noProof/>
              </w:rPr>
              <w:t>DBS Pre-Course Panel Procedure</w:t>
            </w:r>
            <w:r>
              <w:rPr>
                <w:noProof/>
                <w:webHidden/>
              </w:rPr>
              <w:tab/>
            </w:r>
            <w:r>
              <w:rPr>
                <w:noProof/>
                <w:webHidden/>
              </w:rPr>
              <w:fldChar w:fldCharType="begin"/>
            </w:r>
            <w:r>
              <w:rPr>
                <w:noProof/>
                <w:webHidden/>
              </w:rPr>
              <w:instrText xml:space="preserve"> PAGEREF _Toc172035140 \h </w:instrText>
            </w:r>
            <w:r>
              <w:rPr>
                <w:noProof/>
                <w:webHidden/>
              </w:rPr>
            </w:r>
            <w:r>
              <w:rPr>
                <w:noProof/>
                <w:webHidden/>
              </w:rPr>
              <w:fldChar w:fldCharType="separate"/>
            </w:r>
            <w:r>
              <w:rPr>
                <w:noProof/>
                <w:webHidden/>
              </w:rPr>
              <w:t>6</w:t>
            </w:r>
            <w:r>
              <w:rPr>
                <w:noProof/>
                <w:webHidden/>
              </w:rPr>
              <w:fldChar w:fldCharType="end"/>
            </w:r>
          </w:hyperlink>
        </w:p>
        <w:p w14:paraId="0ECFD819" w14:textId="0DD3EFC7" w:rsidR="002E3438" w:rsidRDefault="002E3438">
          <w:pPr>
            <w:pStyle w:val="TOC2"/>
            <w:tabs>
              <w:tab w:val="right" w:pos="9010"/>
            </w:tabs>
            <w:rPr>
              <w:rFonts w:asciiTheme="minorHAnsi" w:eastAsiaTheme="minorEastAsia" w:hAnsiTheme="minorHAnsi" w:cstheme="minorBidi"/>
              <w:noProof/>
              <w:kern w:val="2"/>
              <w14:ligatures w14:val="standardContextual"/>
            </w:rPr>
          </w:pPr>
          <w:hyperlink w:anchor="_Toc172035141" w:history="1">
            <w:r w:rsidRPr="009A1A88">
              <w:rPr>
                <w:rStyle w:val="Hyperlink"/>
                <w:noProof/>
              </w:rPr>
              <w:t>PGCE Applicants with Convictions, Offences, Cautions &amp; Warnings</w:t>
            </w:r>
            <w:r>
              <w:rPr>
                <w:noProof/>
                <w:webHidden/>
              </w:rPr>
              <w:tab/>
            </w:r>
            <w:r>
              <w:rPr>
                <w:noProof/>
                <w:webHidden/>
              </w:rPr>
              <w:fldChar w:fldCharType="begin"/>
            </w:r>
            <w:r>
              <w:rPr>
                <w:noProof/>
                <w:webHidden/>
              </w:rPr>
              <w:instrText xml:space="preserve"> PAGEREF _Toc172035141 \h </w:instrText>
            </w:r>
            <w:r>
              <w:rPr>
                <w:noProof/>
                <w:webHidden/>
              </w:rPr>
            </w:r>
            <w:r>
              <w:rPr>
                <w:noProof/>
                <w:webHidden/>
              </w:rPr>
              <w:fldChar w:fldCharType="separate"/>
            </w:r>
            <w:r>
              <w:rPr>
                <w:noProof/>
                <w:webHidden/>
              </w:rPr>
              <w:t>6</w:t>
            </w:r>
            <w:r>
              <w:rPr>
                <w:noProof/>
                <w:webHidden/>
              </w:rPr>
              <w:fldChar w:fldCharType="end"/>
            </w:r>
          </w:hyperlink>
        </w:p>
        <w:p w14:paraId="56A1EB9B" w14:textId="01100205" w:rsidR="002E3438" w:rsidRDefault="002E3438">
          <w:pPr>
            <w:pStyle w:val="TOC2"/>
            <w:tabs>
              <w:tab w:val="right" w:pos="9010"/>
            </w:tabs>
            <w:rPr>
              <w:rFonts w:asciiTheme="minorHAnsi" w:eastAsiaTheme="minorEastAsia" w:hAnsiTheme="minorHAnsi" w:cstheme="minorBidi"/>
              <w:noProof/>
              <w:kern w:val="2"/>
              <w14:ligatures w14:val="standardContextual"/>
            </w:rPr>
          </w:pPr>
          <w:hyperlink w:anchor="_Toc172035142" w:history="1">
            <w:r w:rsidRPr="009A1A88">
              <w:rPr>
                <w:rStyle w:val="Hyperlink"/>
                <w:noProof/>
              </w:rPr>
              <w:t>Previous Examples</w:t>
            </w:r>
            <w:r>
              <w:rPr>
                <w:noProof/>
                <w:webHidden/>
              </w:rPr>
              <w:tab/>
            </w:r>
            <w:r>
              <w:rPr>
                <w:noProof/>
                <w:webHidden/>
              </w:rPr>
              <w:fldChar w:fldCharType="begin"/>
            </w:r>
            <w:r>
              <w:rPr>
                <w:noProof/>
                <w:webHidden/>
              </w:rPr>
              <w:instrText xml:space="preserve"> PAGEREF _Toc172035142 \h </w:instrText>
            </w:r>
            <w:r>
              <w:rPr>
                <w:noProof/>
                <w:webHidden/>
              </w:rPr>
            </w:r>
            <w:r>
              <w:rPr>
                <w:noProof/>
                <w:webHidden/>
              </w:rPr>
              <w:fldChar w:fldCharType="separate"/>
            </w:r>
            <w:r>
              <w:rPr>
                <w:noProof/>
                <w:webHidden/>
              </w:rPr>
              <w:t>7</w:t>
            </w:r>
            <w:r>
              <w:rPr>
                <w:noProof/>
                <w:webHidden/>
              </w:rPr>
              <w:fldChar w:fldCharType="end"/>
            </w:r>
          </w:hyperlink>
        </w:p>
        <w:p w14:paraId="1CD87FD0" w14:textId="300C336B" w:rsidR="002E3438" w:rsidRDefault="002E3438">
          <w:pPr>
            <w:pStyle w:val="TOC1"/>
            <w:tabs>
              <w:tab w:val="right" w:pos="9010"/>
            </w:tabs>
            <w:rPr>
              <w:rFonts w:asciiTheme="minorHAnsi" w:eastAsiaTheme="minorEastAsia" w:hAnsiTheme="minorHAnsi" w:cstheme="minorBidi"/>
              <w:noProof/>
              <w:kern w:val="2"/>
              <w14:ligatures w14:val="standardContextual"/>
            </w:rPr>
          </w:pPr>
          <w:hyperlink w:anchor="_Toc172035143" w:history="1">
            <w:r w:rsidRPr="009A1A88">
              <w:rPr>
                <w:rStyle w:val="Hyperlink"/>
                <w:noProof/>
              </w:rPr>
              <w:t>Appendix 2 – Fitness to Practise Policy and Procedure</w:t>
            </w:r>
            <w:r>
              <w:rPr>
                <w:noProof/>
                <w:webHidden/>
              </w:rPr>
              <w:tab/>
            </w:r>
            <w:r>
              <w:rPr>
                <w:noProof/>
                <w:webHidden/>
              </w:rPr>
              <w:fldChar w:fldCharType="begin"/>
            </w:r>
            <w:r>
              <w:rPr>
                <w:noProof/>
                <w:webHidden/>
              </w:rPr>
              <w:instrText xml:space="preserve"> PAGEREF _Toc172035143 \h </w:instrText>
            </w:r>
            <w:r>
              <w:rPr>
                <w:noProof/>
                <w:webHidden/>
              </w:rPr>
            </w:r>
            <w:r>
              <w:rPr>
                <w:noProof/>
                <w:webHidden/>
              </w:rPr>
              <w:fldChar w:fldCharType="separate"/>
            </w:r>
            <w:r>
              <w:rPr>
                <w:noProof/>
                <w:webHidden/>
              </w:rPr>
              <w:t>7</w:t>
            </w:r>
            <w:r>
              <w:rPr>
                <w:noProof/>
                <w:webHidden/>
              </w:rPr>
              <w:fldChar w:fldCharType="end"/>
            </w:r>
          </w:hyperlink>
        </w:p>
        <w:p w14:paraId="79036333" w14:textId="38AC149F" w:rsidR="00A03AE9" w:rsidRDefault="00000000">
          <w:r>
            <w:fldChar w:fldCharType="end"/>
          </w:r>
        </w:p>
      </w:sdtContent>
    </w:sdt>
    <w:p w14:paraId="12019F7B" w14:textId="77777777" w:rsidR="00A03AE9" w:rsidRDefault="00000000">
      <w:pPr>
        <w:rPr>
          <w:color w:val="2F5496"/>
          <w:sz w:val="32"/>
          <w:szCs w:val="32"/>
        </w:rPr>
      </w:pPr>
      <w:r>
        <w:br w:type="page"/>
      </w:r>
    </w:p>
    <w:p w14:paraId="634FE036" w14:textId="77777777" w:rsidR="00A03AE9" w:rsidRDefault="00000000">
      <w:pPr>
        <w:pStyle w:val="Heading1"/>
      </w:pPr>
      <w:bookmarkStart w:id="1" w:name="_Toc172035132"/>
      <w:r>
        <w:lastRenderedPageBreak/>
        <w:t>University of York Safeguarding Policy</w:t>
      </w:r>
      <w:bookmarkEnd w:id="1"/>
    </w:p>
    <w:p w14:paraId="0A59701B" w14:textId="77777777" w:rsidR="00A03AE9" w:rsidRDefault="00A03AE9">
      <w:pPr>
        <w:rPr>
          <w:b/>
        </w:rPr>
      </w:pPr>
    </w:p>
    <w:p w14:paraId="242E7249" w14:textId="77777777" w:rsidR="00A03AE9" w:rsidRDefault="00000000">
      <w:pPr>
        <w:pStyle w:val="Heading2"/>
      </w:pPr>
      <w:bookmarkStart w:id="2" w:name="_Toc172035133"/>
      <w:r>
        <w:t>Introduction</w:t>
      </w:r>
      <w:bookmarkEnd w:id="2"/>
    </w:p>
    <w:p w14:paraId="24E31005" w14:textId="77777777" w:rsidR="00A03AE9" w:rsidRDefault="00000000">
      <w:r>
        <w:t>The University takes its safeguarding role and responsibilities within its initial teacher training provision very seriously. We have a clear safeguarding policy for:</w:t>
      </w:r>
    </w:p>
    <w:p w14:paraId="35EA5DD1" w14:textId="77777777" w:rsidR="00A03AE9" w:rsidRDefault="00000000">
      <w:pPr>
        <w:numPr>
          <w:ilvl w:val="0"/>
          <w:numId w:val="1"/>
        </w:numPr>
        <w:pBdr>
          <w:top w:val="nil"/>
          <w:left w:val="nil"/>
          <w:bottom w:val="nil"/>
          <w:right w:val="nil"/>
          <w:between w:val="nil"/>
        </w:pBdr>
      </w:pPr>
      <w:r>
        <w:rPr>
          <w:color w:val="000000"/>
        </w:rPr>
        <w:t>Recruitment stage</w:t>
      </w:r>
    </w:p>
    <w:p w14:paraId="7B1DF822" w14:textId="77777777" w:rsidR="00A03AE9" w:rsidRDefault="00000000">
      <w:pPr>
        <w:numPr>
          <w:ilvl w:val="0"/>
          <w:numId w:val="1"/>
        </w:numPr>
        <w:pBdr>
          <w:top w:val="nil"/>
          <w:left w:val="nil"/>
          <w:bottom w:val="nil"/>
          <w:right w:val="nil"/>
          <w:between w:val="nil"/>
        </w:pBdr>
      </w:pPr>
      <w:r>
        <w:rPr>
          <w:color w:val="000000"/>
        </w:rPr>
        <w:t>Training stage</w:t>
      </w:r>
    </w:p>
    <w:p w14:paraId="47C52F0E" w14:textId="77777777" w:rsidR="00A03AE9" w:rsidRDefault="00A03AE9"/>
    <w:p w14:paraId="72AB0BEB" w14:textId="77777777" w:rsidR="00A03AE9" w:rsidRDefault="00000000">
      <w:r>
        <w:t>Partnership staff will find the processes attached to these stages delineated below.</w:t>
      </w:r>
    </w:p>
    <w:p w14:paraId="26F51C6D" w14:textId="77777777" w:rsidR="00A03AE9" w:rsidRDefault="00A03AE9"/>
    <w:p w14:paraId="24504436" w14:textId="77777777" w:rsidR="00A03AE9" w:rsidRDefault="00000000">
      <w:pPr>
        <w:pStyle w:val="Heading2"/>
        <w:spacing w:before="0"/>
      </w:pPr>
      <w:bookmarkStart w:id="3" w:name="_Toc172035134"/>
      <w:r>
        <w:t>Health and Physical Capacity to Train to Teach</w:t>
      </w:r>
      <w:bookmarkEnd w:id="3"/>
      <w:r>
        <w:t xml:space="preserve"> </w:t>
      </w:r>
    </w:p>
    <w:p w14:paraId="36559174" w14:textId="77777777" w:rsidR="00A03AE9" w:rsidRDefault="00000000">
      <w:r>
        <w:rPr>
          <w:color w:val="0C0C0C"/>
        </w:rPr>
        <w:t xml:space="preserve">The </w:t>
      </w:r>
      <w:r>
        <w:rPr>
          <w:b/>
          <w:color w:val="0C0C0C"/>
        </w:rPr>
        <w:t>University of York</w:t>
      </w:r>
      <w:r>
        <w:rPr>
          <w:color w:val="0C0C0C"/>
        </w:rPr>
        <w:t xml:space="preserve"> and its </w:t>
      </w:r>
      <w:r>
        <w:rPr>
          <w:b/>
          <w:color w:val="0C0C0C"/>
        </w:rPr>
        <w:t>ITT Partnership</w:t>
      </w:r>
      <w:r>
        <w:rPr>
          <w:color w:val="0C0C0C"/>
        </w:rPr>
        <w:t xml:space="preserve"> have a responsibility to ensure that trainees have the health and physical capacity to train to teach and will not put children and young people at risk of harm. The activities that a teacher must be able to perform are set out in </w:t>
      </w:r>
      <w:r>
        <w:rPr>
          <w:color w:val="000000"/>
        </w:rPr>
        <w:t xml:space="preserve">the Education (Health Standards) (England) Regulations 2003. The </w:t>
      </w:r>
      <w:r>
        <w:rPr>
          <w:b/>
          <w:color w:val="000000"/>
        </w:rPr>
        <w:t>University of York</w:t>
      </w:r>
      <w:r>
        <w:rPr>
          <w:color w:val="000000"/>
        </w:rPr>
        <w:t xml:space="preserve"> is responsible f</w:t>
      </w:r>
      <w:r>
        <w:rPr>
          <w:color w:val="0C0C0C"/>
        </w:rPr>
        <w:t xml:space="preserve">or ensuring that only trainees who have the capacity to teach remain on the programme. </w:t>
      </w:r>
    </w:p>
    <w:p w14:paraId="0BB9CDB6" w14:textId="77777777" w:rsidR="00A03AE9" w:rsidRDefault="00000000">
      <w:pPr>
        <w:spacing w:before="280" w:after="280"/>
      </w:pPr>
      <w:r>
        <w:rPr>
          <w:color w:val="0C0C0C"/>
        </w:rPr>
        <w:t xml:space="preserve">It should be noted that people with disabilities or chronic illnesses may have the capacity to train to teach, just as those without disabilities or medical conditions may be unsuitable to train to teach. The </w:t>
      </w:r>
      <w:r>
        <w:rPr>
          <w:b/>
          <w:color w:val="0C0C0C"/>
        </w:rPr>
        <w:t xml:space="preserve">University of York </w:t>
      </w:r>
      <w:r>
        <w:rPr>
          <w:color w:val="0C0C0C"/>
        </w:rPr>
        <w:t>encourages applications from all applicants.</w:t>
      </w:r>
    </w:p>
    <w:p w14:paraId="721565ED" w14:textId="77777777" w:rsidR="00A03AE9" w:rsidRDefault="00000000">
      <w:pPr>
        <w:spacing w:before="280" w:after="280"/>
        <w:rPr>
          <w:color w:val="0C0C0C"/>
        </w:rPr>
      </w:pPr>
      <w:r>
        <w:rPr>
          <w:b/>
          <w:color w:val="0C0C0C"/>
        </w:rPr>
        <w:t>Successful applicants</w:t>
      </w:r>
      <w:r>
        <w:rPr>
          <w:color w:val="0C0C0C"/>
        </w:rPr>
        <w:t xml:space="preserve"> are asked to complete a fitness questionnaire prior to commencing their training programme. The </w:t>
      </w:r>
      <w:r>
        <w:rPr>
          <w:b/>
          <w:color w:val="0C0C0C"/>
        </w:rPr>
        <w:t>University of York</w:t>
      </w:r>
      <w:r>
        <w:rPr>
          <w:color w:val="0C0C0C"/>
        </w:rPr>
        <w:t xml:space="preserve"> does not ask all-encompassing health questions but it does ask targeted and relevant health-related questions which are necessary to ensure that a person is able to train to teach. </w:t>
      </w:r>
    </w:p>
    <w:p w14:paraId="39F438BF" w14:textId="77777777" w:rsidR="00A03AE9" w:rsidRDefault="00000000">
      <w:pPr>
        <w:pBdr>
          <w:top w:val="nil"/>
          <w:left w:val="nil"/>
          <w:bottom w:val="nil"/>
          <w:right w:val="nil"/>
          <w:between w:val="nil"/>
        </w:pBdr>
        <w:jc w:val="both"/>
        <w:rPr>
          <w:color w:val="000000"/>
        </w:rPr>
      </w:pPr>
      <w:r>
        <w:rPr>
          <w:color w:val="000000"/>
        </w:rPr>
        <w:t xml:space="preserve">Upon acceptance of an offer, all </w:t>
      </w:r>
      <w:r>
        <w:rPr>
          <w:b/>
          <w:color w:val="000000"/>
        </w:rPr>
        <w:t>successful applicants</w:t>
      </w:r>
      <w:r>
        <w:rPr>
          <w:color w:val="000000"/>
        </w:rPr>
        <w:t xml:space="preserve"> complete Suitability to Teach Declarations prior to DBS checks. This may lead the University of York to require </w:t>
      </w:r>
      <w:r>
        <w:rPr>
          <w:b/>
          <w:color w:val="000000"/>
        </w:rPr>
        <w:t>offer holders</w:t>
      </w:r>
      <w:r>
        <w:rPr>
          <w:color w:val="000000"/>
        </w:rPr>
        <w:t xml:space="preserve"> to attend additional Occupational Health appointments and/or refer </w:t>
      </w:r>
      <w:r>
        <w:rPr>
          <w:b/>
          <w:color w:val="000000"/>
        </w:rPr>
        <w:t>offer holders</w:t>
      </w:r>
      <w:r>
        <w:rPr>
          <w:color w:val="000000"/>
        </w:rPr>
        <w:t xml:space="preserve"> to Open Door and Disability Services to create Student Support Plans prior to commencing their PGCE course and/or during the PGCE course.</w:t>
      </w:r>
    </w:p>
    <w:p w14:paraId="6931D6C5" w14:textId="77777777" w:rsidR="00A03AE9" w:rsidRDefault="00A03AE9">
      <w:pPr>
        <w:pBdr>
          <w:top w:val="nil"/>
          <w:left w:val="nil"/>
          <w:bottom w:val="nil"/>
          <w:right w:val="nil"/>
          <w:between w:val="nil"/>
        </w:pBdr>
        <w:jc w:val="both"/>
        <w:rPr>
          <w:color w:val="000000"/>
        </w:rPr>
      </w:pPr>
    </w:p>
    <w:p w14:paraId="3809262C" w14:textId="77777777" w:rsidR="00A03AE9" w:rsidRDefault="00000000">
      <w:pPr>
        <w:pStyle w:val="Heading2"/>
        <w:spacing w:before="0"/>
      </w:pPr>
      <w:bookmarkStart w:id="4" w:name="_Toc172035135"/>
      <w:r>
        <w:t>Disclosure and Barring Service Checks</w:t>
      </w:r>
      <w:bookmarkEnd w:id="4"/>
      <w:r>
        <w:t xml:space="preserve"> </w:t>
      </w:r>
    </w:p>
    <w:p w14:paraId="520A4152" w14:textId="77777777" w:rsidR="00A03AE9" w:rsidRDefault="00000000">
      <w:pPr>
        <w:rPr>
          <w:color w:val="0C0C0C"/>
        </w:rPr>
      </w:pPr>
      <w:r>
        <w:rPr>
          <w:color w:val="0C0C0C"/>
        </w:rPr>
        <w:t xml:space="preserve">The </w:t>
      </w:r>
      <w:r>
        <w:rPr>
          <w:b/>
          <w:color w:val="0C0C0C"/>
        </w:rPr>
        <w:t>University of York</w:t>
      </w:r>
      <w:r>
        <w:rPr>
          <w:color w:val="0C0C0C"/>
        </w:rPr>
        <w:t xml:space="preserve"> and its </w:t>
      </w:r>
      <w:r>
        <w:rPr>
          <w:b/>
          <w:color w:val="0C0C0C"/>
        </w:rPr>
        <w:t>IT</w:t>
      </w:r>
      <w:r w:rsidR="002E3438">
        <w:rPr>
          <w:b/>
          <w:color w:val="0C0C0C"/>
        </w:rPr>
        <w:t>E</w:t>
      </w:r>
      <w:r>
        <w:rPr>
          <w:b/>
          <w:color w:val="0C0C0C"/>
        </w:rPr>
        <w:t xml:space="preserve"> Partnership</w:t>
      </w:r>
      <w:r>
        <w:rPr>
          <w:color w:val="0C0C0C"/>
        </w:rPr>
        <w:t xml:space="preserve"> must pay due regard to duties outlined in   the annually updated </w:t>
      </w:r>
      <w:r>
        <w:rPr>
          <w:b/>
          <w:color w:val="0C0C0C"/>
        </w:rPr>
        <w:t>“</w:t>
      </w:r>
      <w:r>
        <w:rPr>
          <w:b/>
          <w:color w:val="000000"/>
        </w:rPr>
        <w:t>Keeping Children Safe in Education”</w:t>
      </w:r>
      <w:r>
        <w:rPr>
          <w:color w:val="000000"/>
          <w:vertAlign w:val="superscript"/>
        </w:rPr>
        <w:footnoteReference w:id="1"/>
      </w:r>
      <w:r>
        <w:rPr>
          <w:color w:val="000000"/>
        </w:rPr>
        <w:t xml:space="preserve"> statutory guidance </w:t>
      </w:r>
      <w:r>
        <w:rPr>
          <w:color w:val="0C0C0C"/>
        </w:rPr>
        <w:t xml:space="preserve">when carrying out their duties to safeguard and promote the welfare of children. </w:t>
      </w:r>
    </w:p>
    <w:p w14:paraId="6E78D0BC" w14:textId="77777777" w:rsidR="00A03AE9" w:rsidRDefault="00A03AE9">
      <w:pPr>
        <w:rPr>
          <w:color w:val="0C0C0C"/>
        </w:rPr>
      </w:pPr>
    </w:p>
    <w:p w14:paraId="2BECB65B" w14:textId="77777777" w:rsidR="00A03AE9" w:rsidRDefault="00000000">
      <w:pPr>
        <w:rPr>
          <w:color w:val="0C0C0C"/>
        </w:rPr>
      </w:pPr>
      <w:r>
        <w:rPr>
          <w:color w:val="0C0C0C"/>
        </w:rPr>
        <w:t xml:space="preserve">At admissions stage, the </w:t>
      </w:r>
      <w:r>
        <w:rPr>
          <w:b/>
          <w:color w:val="0C0C0C"/>
        </w:rPr>
        <w:t>University of York</w:t>
      </w:r>
      <w:r>
        <w:rPr>
          <w:color w:val="0C0C0C"/>
        </w:rPr>
        <w:t xml:space="preserve"> ensures that all </w:t>
      </w:r>
      <w:r w:rsidR="002E3438">
        <w:rPr>
          <w:color w:val="0C0C0C"/>
        </w:rPr>
        <w:t>Beginning Teachers</w:t>
      </w:r>
      <w:r>
        <w:rPr>
          <w:color w:val="0C0C0C"/>
        </w:rPr>
        <w:t xml:space="preserve"> have been subject to appropriate pre-selection checks. This includes:</w:t>
      </w:r>
    </w:p>
    <w:p w14:paraId="331C96DA" w14:textId="77777777" w:rsidR="00A03AE9" w:rsidRDefault="00000000">
      <w:pPr>
        <w:numPr>
          <w:ilvl w:val="0"/>
          <w:numId w:val="5"/>
        </w:numPr>
        <w:pBdr>
          <w:top w:val="nil"/>
          <w:left w:val="nil"/>
          <w:bottom w:val="nil"/>
          <w:right w:val="nil"/>
          <w:between w:val="nil"/>
        </w:pBdr>
        <w:rPr>
          <w:color w:val="000000"/>
        </w:rPr>
      </w:pPr>
      <w:r>
        <w:rPr>
          <w:color w:val="0C0C0C"/>
        </w:rPr>
        <w:t xml:space="preserve">obtaining and considering </w:t>
      </w:r>
      <w:r>
        <w:rPr>
          <w:color w:val="000000"/>
        </w:rPr>
        <w:t xml:space="preserve">Disclosure and Barring Service (DBS) </w:t>
      </w:r>
      <w:r>
        <w:rPr>
          <w:color w:val="0C0C0C"/>
        </w:rPr>
        <w:t xml:space="preserve">criminal records checks </w:t>
      </w:r>
    </w:p>
    <w:p w14:paraId="6AD40235" w14:textId="77777777" w:rsidR="00A03AE9" w:rsidRDefault="00000000">
      <w:pPr>
        <w:rPr>
          <w:color w:val="0C0C0C"/>
        </w:rPr>
      </w:pPr>
      <w:r>
        <w:rPr>
          <w:color w:val="0C0C0C"/>
        </w:rPr>
        <w:t xml:space="preserve">and </w:t>
      </w:r>
    </w:p>
    <w:p w14:paraId="6265A35D" w14:textId="77777777" w:rsidR="00A03AE9" w:rsidRDefault="00000000">
      <w:pPr>
        <w:numPr>
          <w:ilvl w:val="0"/>
          <w:numId w:val="5"/>
        </w:numPr>
        <w:pBdr>
          <w:top w:val="nil"/>
          <w:left w:val="nil"/>
          <w:bottom w:val="nil"/>
          <w:right w:val="nil"/>
          <w:between w:val="nil"/>
        </w:pBdr>
        <w:rPr>
          <w:color w:val="000000"/>
        </w:rPr>
      </w:pPr>
      <w:r>
        <w:rPr>
          <w:color w:val="0C0C0C"/>
        </w:rPr>
        <w:t xml:space="preserve">children’s barred list information. </w:t>
      </w:r>
    </w:p>
    <w:p w14:paraId="70390737" w14:textId="77777777" w:rsidR="00A03AE9" w:rsidRDefault="00000000">
      <w:pPr>
        <w:spacing w:before="280" w:after="280"/>
        <w:rPr>
          <w:color w:val="0C0C0C"/>
        </w:rPr>
      </w:pPr>
      <w:r>
        <w:rPr>
          <w:color w:val="0C0C0C"/>
        </w:rPr>
        <w:lastRenderedPageBreak/>
        <w:t xml:space="preserve">When determining an individual’s suitability to train to teach, at interview stage the </w:t>
      </w:r>
      <w:r>
        <w:rPr>
          <w:b/>
          <w:color w:val="0C0C0C"/>
        </w:rPr>
        <w:t>University of York</w:t>
      </w:r>
      <w:r>
        <w:rPr>
          <w:color w:val="0C0C0C"/>
        </w:rPr>
        <w:t xml:space="preserve"> and its </w:t>
      </w:r>
      <w:r w:rsidR="002E3438">
        <w:rPr>
          <w:b/>
          <w:color w:val="0C0C0C"/>
        </w:rPr>
        <w:t>Lead</w:t>
      </w:r>
      <w:r>
        <w:rPr>
          <w:b/>
          <w:color w:val="0C0C0C"/>
        </w:rPr>
        <w:t xml:space="preserve"> Partners</w:t>
      </w:r>
      <w:r>
        <w:rPr>
          <w:color w:val="0C0C0C"/>
        </w:rPr>
        <w:t xml:space="preserve"> will check that a </w:t>
      </w:r>
      <w:r w:rsidR="002E3438">
        <w:rPr>
          <w:color w:val="0C0C0C"/>
        </w:rPr>
        <w:t>Beginning Teacher</w:t>
      </w:r>
      <w:r>
        <w:rPr>
          <w:color w:val="0C0C0C"/>
        </w:rPr>
        <w:t xml:space="preserve"> has not previously been removed from a programme because they have behaved in a way that indicates that they may not be suitable to work with children, or if the previous provider would have removed the</w:t>
      </w:r>
      <w:r w:rsidR="002E3438">
        <w:rPr>
          <w:color w:val="0C0C0C"/>
        </w:rPr>
        <w:t>m</w:t>
      </w:r>
      <w:r>
        <w:rPr>
          <w:color w:val="0C0C0C"/>
        </w:rPr>
        <w:t xml:space="preserve"> had they not left. </w:t>
      </w:r>
    </w:p>
    <w:p w14:paraId="56D6C06A" w14:textId="77777777" w:rsidR="00A03AE9" w:rsidRDefault="00000000">
      <w:pPr>
        <w:pBdr>
          <w:top w:val="nil"/>
          <w:left w:val="nil"/>
          <w:bottom w:val="nil"/>
          <w:right w:val="nil"/>
          <w:between w:val="nil"/>
        </w:pBdr>
        <w:rPr>
          <w:color w:val="0C0C0C"/>
        </w:rPr>
      </w:pPr>
      <w:r>
        <w:rPr>
          <w:color w:val="000000"/>
        </w:rPr>
        <w:t>At admissions stage,</w:t>
      </w:r>
      <w:r>
        <w:rPr>
          <w:color w:val="0C0C0C"/>
        </w:rPr>
        <w:t xml:space="preserve"> </w:t>
      </w:r>
      <w:r>
        <w:rPr>
          <w:b/>
          <w:color w:val="0C0C0C"/>
        </w:rPr>
        <w:t>applicants</w:t>
      </w:r>
      <w:r>
        <w:rPr>
          <w:color w:val="0C0C0C"/>
        </w:rPr>
        <w:t xml:space="preserve"> that are checked early in the recruitment cycle may also choose to register with the DBS update service. </w:t>
      </w:r>
    </w:p>
    <w:p w14:paraId="07A090E2" w14:textId="77777777" w:rsidR="00A03AE9" w:rsidRDefault="00000000">
      <w:pPr>
        <w:spacing w:before="280" w:after="280"/>
        <w:rPr>
          <w:color w:val="0C0C0C"/>
        </w:rPr>
      </w:pPr>
      <w:r>
        <w:rPr>
          <w:color w:val="0C0C0C"/>
        </w:rPr>
        <w:t xml:space="preserve">Upon registration and after allocation of school placement the </w:t>
      </w:r>
      <w:r>
        <w:rPr>
          <w:b/>
          <w:color w:val="0C0C0C"/>
        </w:rPr>
        <w:t>University of York</w:t>
      </w:r>
      <w:r>
        <w:rPr>
          <w:color w:val="0C0C0C"/>
        </w:rPr>
        <w:t xml:space="preserve"> will confirm in writing to schools that a non-salaried </w:t>
      </w:r>
      <w:r w:rsidR="002E3438">
        <w:rPr>
          <w:color w:val="0C0C0C"/>
        </w:rPr>
        <w:t>Beginning Teacher</w:t>
      </w:r>
      <w:r>
        <w:rPr>
          <w:color w:val="0C0C0C"/>
        </w:rPr>
        <w:t xml:space="preserve">’s criminal record check, including a check of the children’s barred list, has been completed and that the individual has been judged by the provider to be suitable to work with children. The </w:t>
      </w:r>
      <w:r>
        <w:rPr>
          <w:b/>
          <w:color w:val="0C0C0C"/>
        </w:rPr>
        <w:t>University of York</w:t>
      </w:r>
      <w:r>
        <w:rPr>
          <w:color w:val="0C0C0C"/>
        </w:rPr>
        <w:t xml:space="preserve"> is not required to provide any information to </w:t>
      </w:r>
      <w:r>
        <w:rPr>
          <w:b/>
          <w:color w:val="0C0C0C"/>
        </w:rPr>
        <w:t>Partner Schools</w:t>
      </w:r>
      <w:r>
        <w:rPr>
          <w:color w:val="0C0C0C"/>
        </w:rPr>
        <w:t xml:space="preserve"> in addition to this confirmation. </w:t>
      </w:r>
      <w:r>
        <w:rPr>
          <w:b/>
          <w:color w:val="0C0C0C"/>
        </w:rPr>
        <w:t>Partner Schools</w:t>
      </w:r>
      <w:r>
        <w:rPr>
          <w:color w:val="0C0C0C"/>
        </w:rPr>
        <w:t xml:space="preserve"> may wish to record this confirmation in their single central record, but they are not required to do so. </w:t>
      </w:r>
    </w:p>
    <w:p w14:paraId="35E2D092" w14:textId="77777777" w:rsidR="00A03AE9" w:rsidRDefault="00000000">
      <w:pPr>
        <w:pBdr>
          <w:top w:val="nil"/>
          <w:left w:val="nil"/>
          <w:bottom w:val="nil"/>
          <w:right w:val="nil"/>
          <w:between w:val="nil"/>
        </w:pBdr>
        <w:rPr>
          <w:color w:val="0C0C0C"/>
        </w:rPr>
      </w:pPr>
      <w:r>
        <w:rPr>
          <w:color w:val="0C0C0C"/>
        </w:rPr>
        <w:t xml:space="preserve">Where </w:t>
      </w:r>
      <w:r>
        <w:rPr>
          <w:b/>
          <w:color w:val="0C0C0C"/>
        </w:rPr>
        <w:t>Partner Schools</w:t>
      </w:r>
      <w:r>
        <w:rPr>
          <w:color w:val="0C0C0C"/>
        </w:rPr>
        <w:t xml:space="preserve"> allow University of York </w:t>
      </w:r>
      <w:r w:rsidR="002E3438">
        <w:rPr>
          <w:color w:val="0C0C0C"/>
        </w:rPr>
        <w:t>Beginning Teachers</w:t>
      </w:r>
      <w:r>
        <w:rPr>
          <w:color w:val="0C0C0C"/>
        </w:rPr>
        <w:t xml:space="preserve"> to commence training in regulated programme activity before DBS certificates are available to the University of York, </w:t>
      </w:r>
      <w:r>
        <w:rPr>
          <w:b/>
          <w:color w:val="0C0C0C"/>
        </w:rPr>
        <w:t>Partner Schools</w:t>
      </w:r>
      <w:r>
        <w:rPr>
          <w:color w:val="0C0C0C"/>
        </w:rPr>
        <w:t xml:space="preserve"> must ensure that any such </w:t>
      </w:r>
      <w:r w:rsidR="002E3438">
        <w:rPr>
          <w:color w:val="0C0C0C"/>
        </w:rPr>
        <w:t>Beginning Teachers</w:t>
      </w:r>
      <w:r>
        <w:rPr>
          <w:color w:val="0C0C0C"/>
        </w:rPr>
        <w:t xml:space="preserve"> are appropriately supervised and that all other checks, including a separate barred list check, have already been completed. </w:t>
      </w:r>
    </w:p>
    <w:p w14:paraId="596839CB" w14:textId="77777777" w:rsidR="002E3438" w:rsidRDefault="002E3438">
      <w:pPr>
        <w:pBdr>
          <w:top w:val="nil"/>
          <w:left w:val="nil"/>
          <w:bottom w:val="nil"/>
          <w:right w:val="nil"/>
          <w:between w:val="nil"/>
        </w:pBdr>
        <w:rPr>
          <w:color w:val="000000"/>
        </w:rPr>
      </w:pPr>
    </w:p>
    <w:p w14:paraId="0E7E08E6" w14:textId="77777777" w:rsidR="00A03AE9" w:rsidRDefault="00000000">
      <w:pPr>
        <w:pBdr>
          <w:top w:val="nil"/>
          <w:left w:val="nil"/>
          <w:bottom w:val="nil"/>
          <w:right w:val="nil"/>
          <w:between w:val="nil"/>
        </w:pBdr>
        <w:rPr>
          <w:color w:val="0C0C0C"/>
        </w:rPr>
      </w:pPr>
      <w:r>
        <w:rPr>
          <w:color w:val="0C0C0C"/>
        </w:rPr>
        <w:t xml:space="preserve">The </w:t>
      </w:r>
      <w:r>
        <w:rPr>
          <w:b/>
          <w:color w:val="0C0C0C"/>
        </w:rPr>
        <w:t>University of York IT</w:t>
      </w:r>
      <w:r w:rsidR="002E3438">
        <w:rPr>
          <w:b/>
          <w:color w:val="0C0C0C"/>
        </w:rPr>
        <w:t>E</w:t>
      </w:r>
      <w:r>
        <w:rPr>
          <w:b/>
          <w:color w:val="0C0C0C"/>
        </w:rPr>
        <w:t xml:space="preserve"> Partnership’s</w:t>
      </w:r>
      <w:r>
        <w:rPr>
          <w:color w:val="0C0C0C"/>
        </w:rPr>
        <w:t xml:space="preserve"> established clear safeguarding policy and procedures with protocols are annually reviewed and agreed by </w:t>
      </w:r>
      <w:r>
        <w:rPr>
          <w:b/>
          <w:color w:val="0C0C0C"/>
        </w:rPr>
        <w:t>all partners</w:t>
      </w:r>
      <w:r>
        <w:rPr>
          <w:color w:val="0C0C0C"/>
        </w:rPr>
        <w:t xml:space="preserve"> in the University of York IT</w:t>
      </w:r>
      <w:r w:rsidR="002E3438">
        <w:rPr>
          <w:color w:val="0C0C0C"/>
        </w:rPr>
        <w:t>E</w:t>
      </w:r>
      <w:r>
        <w:rPr>
          <w:color w:val="0C0C0C"/>
        </w:rPr>
        <w:t xml:space="preserve"> Partnership. This includes a common understanding across the University of York IT</w:t>
      </w:r>
      <w:r w:rsidR="002E3438">
        <w:rPr>
          <w:color w:val="0C0C0C"/>
        </w:rPr>
        <w:t>E</w:t>
      </w:r>
      <w:r>
        <w:rPr>
          <w:color w:val="0C0C0C"/>
        </w:rPr>
        <w:t xml:space="preserve"> Partnership of convictions, offences, cautions and warnings that would not pose a barrier to joining the University’s IT</w:t>
      </w:r>
      <w:r w:rsidR="002E3438">
        <w:rPr>
          <w:color w:val="0C0C0C"/>
        </w:rPr>
        <w:t>E</w:t>
      </w:r>
      <w:r>
        <w:rPr>
          <w:color w:val="0C0C0C"/>
        </w:rPr>
        <w:t xml:space="preserve"> programme (see Appendix 1 below) </w:t>
      </w:r>
    </w:p>
    <w:p w14:paraId="14282577" w14:textId="77777777" w:rsidR="002E3438" w:rsidRDefault="002E3438">
      <w:pPr>
        <w:pBdr>
          <w:top w:val="nil"/>
          <w:left w:val="nil"/>
          <w:bottom w:val="nil"/>
          <w:right w:val="nil"/>
          <w:between w:val="nil"/>
        </w:pBdr>
        <w:rPr>
          <w:color w:val="0C0C0C"/>
        </w:rPr>
      </w:pPr>
    </w:p>
    <w:p w14:paraId="63320BC3" w14:textId="77777777" w:rsidR="00A03AE9" w:rsidRDefault="00000000">
      <w:pPr>
        <w:pBdr>
          <w:top w:val="nil"/>
          <w:left w:val="nil"/>
          <w:bottom w:val="nil"/>
          <w:right w:val="nil"/>
          <w:between w:val="nil"/>
        </w:pBdr>
        <w:rPr>
          <w:color w:val="000000"/>
        </w:rPr>
      </w:pPr>
      <w:r>
        <w:rPr>
          <w:color w:val="0C0C0C"/>
        </w:rPr>
        <w:t xml:space="preserve">At the start of their training in each placement, </w:t>
      </w:r>
      <w:r>
        <w:rPr>
          <w:b/>
          <w:color w:val="0C0C0C"/>
        </w:rPr>
        <w:t>Partner Schools</w:t>
      </w:r>
      <w:r>
        <w:rPr>
          <w:color w:val="0C0C0C"/>
        </w:rPr>
        <w:t xml:space="preserve"> must ensure that all </w:t>
      </w:r>
      <w:r w:rsidR="002E3438">
        <w:rPr>
          <w:color w:val="0C0C0C"/>
        </w:rPr>
        <w:t>Beginning</w:t>
      </w:r>
      <w:r>
        <w:rPr>
          <w:color w:val="0C0C0C"/>
        </w:rPr>
        <w:t xml:space="preserve"> </w:t>
      </w:r>
      <w:r w:rsidR="002E3438">
        <w:rPr>
          <w:color w:val="0C0C0C"/>
        </w:rPr>
        <w:t>T</w:t>
      </w:r>
      <w:r>
        <w:rPr>
          <w:color w:val="0C0C0C"/>
        </w:rPr>
        <w:t xml:space="preserve">eachers allocated to be placed with them for either Placement 1 or 2, are provided with: </w:t>
      </w:r>
    </w:p>
    <w:p w14:paraId="11FA2743" w14:textId="77777777" w:rsidR="00A03AE9" w:rsidRDefault="00000000">
      <w:pPr>
        <w:numPr>
          <w:ilvl w:val="0"/>
          <w:numId w:val="4"/>
        </w:numPr>
        <w:pBdr>
          <w:top w:val="nil"/>
          <w:left w:val="nil"/>
          <w:bottom w:val="nil"/>
          <w:right w:val="nil"/>
          <w:between w:val="nil"/>
        </w:pBdr>
        <w:rPr>
          <w:color w:val="0C0C0C"/>
        </w:rPr>
      </w:pPr>
      <w:r>
        <w:rPr>
          <w:color w:val="0C0C0C"/>
        </w:rPr>
        <w:t xml:space="preserve">the school’s </w:t>
      </w:r>
      <w:r>
        <w:rPr>
          <w:b/>
          <w:color w:val="0C0C0C"/>
        </w:rPr>
        <w:t xml:space="preserve">child protection policy </w:t>
      </w:r>
    </w:p>
    <w:p w14:paraId="44C0ECA3" w14:textId="77777777" w:rsidR="00A03AE9" w:rsidRDefault="00000000">
      <w:pPr>
        <w:numPr>
          <w:ilvl w:val="0"/>
          <w:numId w:val="4"/>
        </w:numPr>
        <w:pBdr>
          <w:top w:val="nil"/>
          <w:left w:val="nil"/>
          <w:bottom w:val="nil"/>
          <w:right w:val="nil"/>
          <w:between w:val="nil"/>
        </w:pBdr>
        <w:rPr>
          <w:color w:val="0C0C0C"/>
        </w:rPr>
      </w:pPr>
      <w:r>
        <w:rPr>
          <w:color w:val="0C0C0C"/>
        </w:rPr>
        <w:t xml:space="preserve">the school’s </w:t>
      </w:r>
      <w:r>
        <w:rPr>
          <w:b/>
          <w:color w:val="0C0C0C"/>
        </w:rPr>
        <w:t>staff behaviour policy</w:t>
      </w:r>
      <w:r>
        <w:rPr>
          <w:color w:val="0C0C0C"/>
        </w:rPr>
        <w:t xml:space="preserve"> (or </w:t>
      </w:r>
      <w:r>
        <w:rPr>
          <w:b/>
          <w:color w:val="0C0C0C"/>
        </w:rPr>
        <w:t>code of conduct</w:t>
      </w:r>
      <w:r>
        <w:rPr>
          <w:color w:val="0C0C0C"/>
        </w:rPr>
        <w:t xml:space="preserve">) </w:t>
      </w:r>
    </w:p>
    <w:p w14:paraId="38430501" w14:textId="77777777" w:rsidR="00A03AE9" w:rsidRDefault="00000000">
      <w:pPr>
        <w:numPr>
          <w:ilvl w:val="0"/>
          <w:numId w:val="4"/>
        </w:numPr>
        <w:pBdr>
          <w:top w:val="nil"/>
          <w:left w:val="nil"/>
          <w:bottom w:val="nil"/>
          <w:right w:val="nil"/>
          <w:between w:val="nil"/>
        </w:pBdr>
        <w:rPr>
          <w:color w:val="0C0C0C"/>
        </w:rPr>
      </w:pPr>
      <w:r>
        <w:rPr>
          <w:color w:val="0C0C0C"/>
        </w:rPr>
        <w:t xml:space="preserve">information about </w:t>
      </w:r>
      <w:r>
        <w:rPr>
          <w:b/>
          <w:color w:val="0C0C0C"/>
        </w:rPr>
        <w:t>the role of the school’s designated safeguarding lead</w:t>
      </w:r>
      <w:r>
        <w:rPr>
          <w:color w:val="0C0C0C"/>
        </w:rPr>
        <w:t xml:space="preserve"> </w:t>
      </w:r>
    </w:p>
    <w:p w14:paraId="7E23BE64" w14:textId="77777777" w:rsidR="00A03AE9" w:rsidRDefault="00000000">
      <w:pPr>
        <w:numPr>
          <w:ilvl w:val="0"/>
          <w:numId w:val="4"/>
        </w:numPr>
        <w:pBdr>
          <w:top w:val="nil"/>
          <w:left w:val="nil"/>
          <w:bottom w:val="nil"/>
          <w:right w:val="nil"/>
          <w:between w:val="nil"/>
        </w:pBdr>
        <w:rPr>
          <w:color w:val="0C0C0C"/>
        </w:rPr>
      </w:pPr>
      <w:r>
        <w:rPr>
          <w:color w:val="0C0C0C"/>
        </w:rPr>
        <w:t xml:space="preserve">the latest copy </w:t>
      </w:r>
      <w:r>
        <w:rPr>
          <w:color w:val="000000"/>
        </w:rPr>
        <w:t xml:space="preserve">of </w:t>
      </w:r>
      <w:r>
        <w:rPr>
          <w:b/>
          <w:color w:val="000000"/>
        </w:rPr>
        <w:t>Keeping Children Safe in Education</w:t>
      </w:r>
      <w:r>
        <w:rPr>
          <w:color w:val="000000"/>
        </w:rPr>
        <w:t xml:space="preserve"> (see: </w:t>
      </w:r>
      <w:hyperlink r:id="rId9">
        <w:r>
          <w:rPr>
            <w:color w:val="0563C1"/>
            <w:u w:val="single"/>
          </w:rPr>
          <w:t>DfE Keeping Children Safe in Education</w:t>
        </w:r>
      </w:hyperlink>
      <w:r>
        <w:rPr>
          <w:color w:val="000000"/>
        </w:rPr>
        <w:t xml:space="preserve"> (DfE, Sept, 202</w:t>
      </w:r>
      <w:r w:rsidR="002E3438">
        <w:rPr>
          <w:color w:val="000000"/>
        </w:rPr>
        <w:t>4</w:t>
      </w:r>
      <w:r>
        <w:rPr>
          <w:color w:val="000000"/>
        </w:rPr>
        <w:t>)</w:t>
      </w:r>
    </w:p>
    <w:p w14:paraId="3C4C0A06" w14:textId="77777777" w:rsidR="00A03AE9" w:rsidRDefault="00A03AE9">
      <w:pPr>
        <w:pBdr>
          <w:top w:val="nil"/>
          <w:left w:val="nil"/>
          <w:bottom w:val="nil"/>
          <w:right w:val="nil"/>
          <w:between w:val="nil"/>
        </w:pBdr>
        <w:rPr>
          <w:color w:val="0C0C0C"/>
        </w:rPr>
      </w:pPr>
    </w:p>
    <w:p w14:paraId="4C296038" w14:textId="77777777" w:rsidR="00A03AE9" w:rsidRDefault="00000000">
      <w:pPr>
        <w:pBdr>
          <w:top w:val="nil"/>
          <w:left w:val="nil"/>
          <w:bottom w:val="nil"/>
          <w:right w:val="nil"/>
          <w:between w:val="nil"/>
        </w:pBdr>
        <w:rPr>
          <w:b/>
          <w:color w:val="0C0C0C"/>
        </w:rPr>
      </w:pPr>
      <w:r>
        <w:rPr>
          <w:color w:val="0C0C0C"/>
        </w:rPr>
        <w:t xml:space="preserve">If the </w:t>
      </w:r>
      <w:r>
        <w:rPr>
          <w:b/>
          <w:color w:val="0C0C0C"/>
        </w:rPr>
        <w:t>University of York</w:t>
      </w:r>
      <w:r>
        <w:rPr>
          <w:color w:val="0C0C0C"/>
        </w:rPr>
        <w:t xml:space="preserve"> removes a </w:t>
      </w:r>
      <w:r w:rsidR="002E3438">
        <w:rPr>
          <w:color w:val="0C0C0C"/>
        </w:rPr>
        <w:t>Beginning Teacher</w:t>
      </w:r>
      <w:r>
        <w:rPr>
          <w:color w:val="0C0C0C"/>
        </w:rPr>
        <w:t xml:space="preserve"> from one of our IT</w:t>
      </w:r>
      <w:r w:rsidR="002E3438">
        <w:rPr>
          <w:color w:val="0C0C0C"/>
        </w:rPr>
        <w:t>E</w:t>
      </w:r>
      <w:r>
        <w:rPr>
          <w:color w:val="0C0C0C"/>
        </w:rPr>
        <w:t xml:space="preserve"> programmes because the</w:t>
      </w:r>
      <w:r w:rsidR="002E3438">
        <w:rPr>
          <w:color w:val="0C0C0C"/>
        </w:rPr>
        <w:t>y</w:t>
      </w:r>
      <w:r>
        <w:rPr>
          <w:color w:val="0C0C0C"/>
        </w:rPr>
        <w:t xml:space="preserve"> ha</w:t>
      </w:r>
      <w:r w:rsidR="002E3438">
        <w:rPr>
          <w:color w:val="0C0C0C"/>
        </w:rPr>
        <w:t>ve</w:t>
      </w:r>
      <w:r>
        <w:rPr>
          <w:color w:val="0C0C0C"/>
        </w:rPr>
        <w:t xml:space="preserve"> harmed or poses a risk of harm to children, or if the </w:t>
      </w:r>
      <w:r>
        <w:rPr>
          <w:b/>
          <w:color w:val="0C0C0C"/>
        </w:rPr>
        <w:t>University of York</w:t>
      </w:r>
      <w:r>
        <w:rPr>
          <w:color w:val="0C0C0C"/>
        </w:rPr>
        <w:t xml:space="preserve"> would have removed the </w:t>
      </w:r>
      <w:r w:rsidR="002E3438">
        <w:rPr>
          <w:color w:val="0C0C0C"/>
        </w:rPr>
        <w:t>Beginning Teacher</w:t>
      </w:r>
      <w:r>
        <w:rPr>
          <w:color w:val="0C0C0C"/>
        </w:rPr>
        <w:t xml:space="preserve"> had the </w:t>
      </w:r>
      <w:r w:rsidR="002E3438">
        <w:rPr>
          <w:color w:val="0C0C0C"/>
        </w:rPr>
        <w:t>Beginning Teacher</w:t>
      </w:r>
      <w:r>
        <w:rPr>
          <w:color w:val="0C0C0C"/>
        </w:rPr>
        <w:t xml:space="preserve"> concerned not left, we will immediately seek guidance from the DBS and keep relevant Partner Schools informed. In such cases, it is highly likely that an </w:t>
      </w:r>
      <w:r>
        <w:rPr>
          <w:b/>
          <w:color w:val="0C0C0C"/>
        </w:rPr>
        <w:t xml:space="preserve">FTP Panel </w:t>
      </w:r>
      <w:r>
        <w:rPr>
          <w:color w:val="0C0C0C"/>
        </w:rPr>
        <w:t xml:space="preserve">will also have investigated the nature of the </w:t>
      </w:r>
      <w:r w:rsidR="002E3438">
        <w:rPr>
          <w:color w:val="0C0C0C"/>
        </w:rPr>
        <w:t>Beginning Teacher</w:t>
      </w:r>
      <w:r>
        <w:rPr>
          <w:color w:val="0C0C0C"/>
        </w:rPr>
        <w:t xml:space="preserve">’s conduct, following the procedures and protocols outlined in the </w:t>
      </w:r>
      <w:commentRangeStart w:id="5"/>
      <w:r>
        <w:fldChar w:fldCharType="begin"/>
      </w:r>
      <w:r>
        <w:instrText>HYPERLINK "https://docs.google.com/document/d/1Y7cVY55hIgG-fDHkim2EJl_J2S6kgqsnrU3IdnXJ4Mo/edit" \h</w:instrText>
      </w:r>
      <w:r>
        <w:fldChar w:fldCharType="separate"/>
      </w:r>
      <w:r>
        <w:rPr>
          <w:b/>
          <w:color w:val="1155CC"/>
          <w:u w:val="single"/>
        </w:rPr>
        <w:t>University of York Department of Education Fitness to Practise Policy</w:t>
      </w:r>
      <w:r>
        <w:rPr>
          <w:b/>
          <w:color w:val="1155CC"/>
          <w:u w:val="single"/>
        </w:rPr>
        <w:fldChar w:fldCharType="end"/>
      </w:r>
      <w:commentRangeEnd w:id="5"/>
      <w:r w:rsidR="002E3438">
        <w:rPr>
          <w:rStyle w:val="CommentReference"/>
        </w:rPr>
        <w:commentReference w:id="5"/>
      </w:r>
      <w:r>
        <w:rPr>
          <w:b/>
          <w:color w:val="0C0C0C"/>
        </w:rPr>
        <w:t xml:space="preserve"> </w:t>
      </w:r>
      <w:r>
        <w:rPr>
          <w:color w:val="0C0C0C"/>
        </w:rPr>
        <w:t xml:space="preserve">(also available at: </w:t>
      </w:r>
      <w:commentRangeStart w:id="6"/>
      <w:r>
        <w:fldChar w:fldCharType="begin"/>
      </w:r>
      <w:r>
        <w:instrText>HYPERLINK "https://www.york.ac.uk/education/pgce/mentors/mentorslibrary/" \h</w:instrText>
      </w:r>
      <w:r>
        <w:fldChar w:fldCharType="separate"/>
      </w:r>
      <w:r>
        <w:rPr>
          <w:color w:val="0563C1"/>
          <w:u w:val="single"/>
        </w:rPr>
        <w:t>University of York PGCE - Mentor Library website</w:t>
      </w:r>
      <w:r>
        <w:rPr>
          <w:color w:val="0563C1"/>
          <w:u w:val="single"/>
        </w:rPr>
        <w:fldChar w:fldCharType="end"/>
      </w:r>
      <w:commentRangeEnd w:id="6"/>
      <w:r w:rsidR="002E3438">
        <w:rPr>
          <w:rStyle w:val="CommentReference"/>
        </w:rPr>
        <w:commentReference w:id="6"/>
      </w:r>
      <w:r>
        <w:rPr>
          <w:color w:val="0C0C0C"/>
        </w:rPr>
        <w:t>). Please see Appendix 2 below.</w:t>
      </w:r>
    </w:p>
    <w:p w14:paraId="6A5D2E97" w14:textId="77777777" w:rsidR="00A03AE9" w:rsidRDefault="00A03AE9">
      <w:pPr>
        <w:pStyle w:val="Heading2"/>
        <w:spacing w:before="0"/>
      </w:pPr>
      <w:bookmarkStart w:id="7" w:name="_mnb9ybnsecms" w:colFirst="0" w:colLast="0"/>
      <w:bookmarkEnd w:id="7"/>
    </w:p>
    <w:p w14:paraId="13D1466D" w14:textId="77777777" w:rsidR="00A03AE9" w:rsidRDefault="00000000">
      <w:pPr>
        <w:pStyle w:val="Heading2"/>
        <w:spacing w:before="0"/>
        <w:rPr>
          <w:color w:val="0C0C0C"/>
        </w:rPr>
      </w:pPr>
      <w:bookmarkStart w:id="8" w:name="_Toc172035136"/>
      <w:r>
        <w:t>Other Background Checks</w:t>
      </w:r>
      <w:bookmarkEnd w:id="8"/>
      <w:r>
        <w:t xml:space="preserve"> </w:t>
      </w:r>
    </w:p>
    <w:p w14:paraId="5E8788D4" w14:textId="24FD1514" w:rsidR="00A03AE9" w:rsidRDefault="00000000">
      <w:pPr>
        <w:pBdr>
          <w:top w:val="nil"/>
          <w:left w:val="nil"/>
          <w:bottom w:val="nil"/>
          <w:right w:val="nil"/>
          <w:between w:val="nil"/>
        </w:pBdr>
        <w:rPr>
          <w:color w:val="0C0C0C"/>
        </w:rPr>
      </w:pPr>
      <w:r>
        <w:rPr>
          <w:color w:val="0C0C0C"/>
        </w:rPr>
        <w:t xml:space="preserve">In addition, candidates at admissions stage who are unsuited to working with children may not have any previous convictions, so the </w:t>
      </w:r>
      <w:r>
        <w:rPr>
          <w:b/>
          <w:color w:val="0C0C0C"/>
        </w:rPr>
        <w:t>University of York</w:t>
      </w:r>
      <w:r>
        <w:rPr>
          <w:color w:val="0C0C0C"/>
        </w:rPr>
        <w:t xml:space="preserve"> is vigilant during the selection process alongside its </w:t>
      </w:r>
      <w:r w:rsidR="002E3438">
        <w:rPr>
          <w:b/>
          <w:color w:val="0C0C0C"/>
        </w:rPr>
        <w:t>Lead</w:t>
      </w:r>
      <w:r>
        <w:rPr>
          <w:b/>
          <w:color w:val="0C0C0C"/>
        </w:rPr>
        <w:t xml:space="preserve"> Partners</w:t>
      </w:r>
      <w:r>
        <w:rPr>
          <w:color w:val="0C0C0C"/>
        </w:rPr>
        <w:t xml:space="preserve">. The </w:t>
      </w:r>
      <w:r>
        <w:rPr>
          <w:b/>
          <w:color w:val="0C0C0C"/>
        </w:rPr>
        <w:t>University of York</w:t>
      </w:r>
      <w:r>
        <w:rPr>
          <w:color w:val="0C0C0C"/>
        </w:rPr>
        <w:t xml:space="preserve"> and its </w:t>
      </w:r>
      <w:r w:rsidR="002E3438">
        <w:rPr>
          <w:b/>
          <w:color w:val="0C0C0C"/>
        </w:rPr>
        <w:t>Lead</w:t>
      </w:r>
      <w:r>
        <w:rPr>
          <w:b/>
          <w:color w:val="0C0C0C"/>
        </w:rPr>
        <w:t xml:space="preserve"> Partners</w:t>
      </w:r>
      <w:r>
        <w:rPr>
          <w:color w:val="0C0C0C"/>
        </w:rPr>
        <w:t xml:space="preserve"> have a duty to ensure that </w:t>
      </w:r>
      <w:r w:rsidR="002E3438">
        <w:rPr>
          <w:color w:val="0C0C0C"/>
        </w:rPr>
        <w:t>Beginning Teachers</w:t>
      </w:r>
      <w:r>
        <w:rPr>
          <w:color w:val="0C0C0C"/>
        </w:rPr>
        <w:t xml:space="preserve"> are properly managed and supervised and that, if we have concerns, information is referred to the police and the DBS. </w:t>
      </w:r>
    </w:p>
    <w:p w14:paraId="109926ED" w14:textId="77777777" w:rsidR="00A03AE9" w:rsidRDefault="00A03AE9">
      <w:pPr>
        <w:pBdr>
          <w:top w:val="nil"/>
          <w:left w:val="nil"/>
          <w:bottom w:val="nil"/>
          <w:right w:val="nil"/>
          <w:between w:val="nil"/>
        </w:pBdr>
        <w:rPr>
          <w:color w:val="0C0C0C"/>
        </w:rPr>
      </w:pPr>
    </w:p>
    <w:p w14:paraId="5E7719E1" w14:textId="57D1F465" w:rsidR="00A03AE9" w:rsidRDefault="00000000">
      <w:pPr>
        <w:pBdr>
          <w:top w:val="nil"/>
          <w:left w:val="nil"/>
          <w:bottom w:val="nil"/>
          <w:right w:val="nil"/>
          <w:between w:val="nil"/>
        </w:pBdr>
        <w:rPr>
          <w:color w:val="0C0C0C"/>
        </w:rPr>
      </w:pPr>
      <w:r>
        <w:rPr>
          <w:color w:val="0C0C0C"/>
        </w:rPr>
        <w:t xml:space="preserve">Candidates who have lived or worked outside the UK must undergo the same checks as all other staff in schools and colleges. In addition, further checks are carried out before registration by the </w:t>
      </w:r>
      <w:r>
        <w:rPr>
          <w:b/>
          <w:color w:val="0C0C0C"/>
        </w:rPr>
        <w:t>University of York Central Admissions Team</w:t>
      </w:r>
      <w:r>
        <w:rPr>
          <w:color w:val="0C0C0C"/>
        </w:rPr>
        <w:t xml:space="preserve"> so that events that occurred outside the UK can be considered. In this consideration, the </w:t>
      </w:r>
      <w:r>
        <w:rPr>
          <w:b/>
          <w:color w:val="0C0C0C"/>
        </w:rPr>
        <w:t>University of York IT</w:t>
      </w:r>
      <w:r w:rsidR="002E3438">
        <w:rPr>
          <w:b/>
          <w:color w:val="0C0C0C"/>
        </w:rPr>
        <w:t>E</w:t>
      </w:r>
      <w:r>
        <w:rPr>
          <w:b/>
          <w:color w:val="0C0C0C"/>
        </w:rPr>
        <w:t xml:space="preserve"> Partnership </w:t>
      </w:r>
      <w:r>
        <w:rPr>
          <w:color w:val="0C0C0C"/>
        </w:rPr>
        <w:t xml:space="preserve">and </w:t>
      </w:r>
      <w:r>
        <w:rPr>
          <w:b/>
          <w:color w:val="0C0C0C"/>
        </w:rPr>
        <w:t>the central University of York Admissions Team</w:t>
      </w:r>
      <w:r>
        <w:rPr>
          <w:color w:val="0C0C0C"/>
        </w:rPr>
        <w:t xml:space="preserve"> use:</w:t>
      </w:r>
    </w:p>
    <w:p w14:paraId="1A28A708" w14:textId="77777777" w:rsidR="00A03AE9" w:rsidRDefault="00000000">
      <w:pPr>
        <w:numPr>
          <w:ilvl w:val="0"/>
          <w:numId w:val="6"/>
        </w:numPr>
        <w:pBdr>
          <w:top w:val="nil"/>
          <w:left w:val="nil"/>
          <w:bottom w:val="nil"/>
          <w:right w:val="nil"/>
          <w:between w:val="nil"/>
        </w:pBdr>
        <w:rPr>
          <w:color w:val="0C0C0C"/>
        </w:rPr>
      </w:pPr>
      <w:r>
        <w:rPr>
          <w:color w:val="0C0C0C"/>
        </w:rPr>
        <w:t xml:space="preserve">the Home Office published guidance on </w:t>
      </w:r>
      <w:r>
        <w:rPr>
          <w:color w:val="000000"/>
        </w:rPr>
        <w:t xml:space="preserve">criminal record checks for overseas applicants </w:t>
      </w:r>
    </w:p>
    <w:p w14:paraId="249C8CAA" w14:textId="77777777" w:rsidR="00A03AE9" w:rsidRDefault="00000000">
      <w:pPr>
        <w:pBdr>
          <w:top w:val="nil"/>
          <w:left w:val="nil"/>
          <w:bottom w:val="nil"/>
          <w:right w:val="nil"/>
          <w:between w:val="nil"/>
        </w:pBdr>
        <w:rPr>
          <w:color w:val="0C0C0C"/>
        </w:rPr>
      </w:pPr>
      <w:r>
        <w:rPr>
          <w:color w:val="0C0C0C"/>
        </w:rPr>
        <w:t xml:space="preserve">and </w:t>
      </w:r>
    </w:p>
    <w:p w14:paraId="24CD166C" w14:textId="77777777" w:rsidR="00A03AE9" w:rsidRDefault="00000000">
      <w:pPr>
        <w:numPr>
          <w:ilvl w:val="0"/>
          <w:numId w:val="6"/>
        </w:numPr>
        <w:pBdr>
          <w:top w:val="nil"/>
          <w:left w:val="nil"/>
          <w:bottom w:val="nil"/>
          <w:right w:val="nil"/>
          <w:between w:val="nil"/>
        </w:pBdr>
        <w:rPr>
          <w:color w:val="0C0C0C"/>
        </w:rPr>
      </w:pPr>
      <w:r>
        <w:rPr>
          <w:color w:val="0C0C0C"/>
        </w:rPr>
        <w:t>the Home Office “</w:t>
      </w:r>
      <w:r>
        <w:rPr>
          <w:color w:val="000000"/>
        </w:rPr>
        <w:t xml:space="preserve">Changes to checks for EU sanctions on EEA teachers” guidance and “Recruit teachers from overseas” guidance. </w:t>
      </w:r>
    </w:p>
    <w:p w14:paraId="6AE1FDB4" w14:textId="77777777" w:rsidR="00A03AE9" w:rsidRDefault="00000000">
      <w:pPr>
        <w:spacing w:before="280" w:after="280"/>
      </w:pPr>
      <w:r>
        <w:rPr>
          <w:color w:val="0C0C0C"/>
        </w:rPr>
        <w:t xml:space="preserve">The </w:t>
      </w:r>
      <w:r>
        <w:rPr>
          <w:b/>
          <w:color w:val="0C0C0C"/>
        </w:rPr>
        <w:t>University of York</w:t>
      </w:r>
      <w:r>
        <w:rPr>
          <w:color w:val="0C0C0C"/>
        </w:rPr>
        <w:t xml:space="preserve"> also checks that candidates are not subject to a prohibition order issued by the Secretary of State. </w:t>
      </w:r>
    </w:p>
    <w:p w14:paraId="7ACEE5BD" w14:textId="77777777" w:rsidR="00A03AE9" w:rsidRDefault="00000000">
      <w:pPr>
        <w:pStyle w:val="Heading2"/>
        <w:spacing w:before="0"/>
      </w:pPr>
      <w:bookmarkStart w:id="9" w:name="_Toc172035137"/>
      <w:r>
        <w:t>Childcare Disqualification</w:t>
      </w:r>
      <w:bookmarkEnd w:id="9"/>
      <w:r>
        <w:t xml:space="preserve"> </w:t>
      </w:r>
    </w:p>
    <w:p w14:paraId="6E506D88" w14:textId="77777777" w:rsidR="00A03AE9" w:rsidRDefault="00000000">
      <w:r>
        <w:rPr>
          <w:color w:val="0C0C0C"/>
        </w:rPr>
        <w:t xml:space="preserve">The </w:t>
      </w:r>
      <w:r>
        <w:rPr>
          <w:b/>
          <w:color w:val="0C0C0C"/>
        </w:rPr>
        <w:t>University of York</w:t>
      </w:r>
      <w:r>
        <w:rPr>
          <w:color w:val="0C0C0C"/>
        </w:rPr>
        <w:t xml:space="preserve"> pays due regard to the </w:t>
      </w:r>
      <w:r>
        <w:rPr>
          <w:color w:val="000000"/>
        </w:rPr>
        <w:t>Disqualification under the Childcare Act 2006 statutory guidance</w:t>
      </w:r>
      <w:r>
        <w:rPr>
          <w:color w:val="0000FF"/>
        </w:rPr>
        <w:t xml:space="preserve"> </w:t>
      </w:r>
      <w:r>
        <w:rPr>
          <w:color w:val="0C0C0C"/>
        </w:rPr>
        <w:t xml:space="preserve">and related obligations under the Childcare Act 2006 to carry out duties to safeguard and promote the welfare of children. </w:t>
      </w:r>
    </w:p>
    <w:p w14:paraId="1E86ED93" w14:textId="75B13C0C" w:rsidR="00A03AE9" w:rsidRDefault="00000000">
      <w:pPr>
        <w:spacing w:before="280" w:after="280"/>
      </w:pPr>
      <w:r>
        <w:rPr>
          <w:color w:val="0C0C0C"/>
        </w:rPr>
        <w:t xml:space="preserve">For </w:t>
      </w:r>
      <w:r>
        <w:rPr>
          <w:b/>
          <w:color w:val="0C0C0C"/>
        </w:rPr>
        <w:t xml:space="preserve">fee-funded </w:t>
      </w:r>
      <w:r w:rsidR="002E3438">
        <w:rPr>
          <w:b/>
          <w:color w:val="0C0C0C"/>
        </w:rPr>
        <w:t>Beginning Teachers</w:t>
      </w:r>
      <w:r>
        <w:rPr>
          <w:color w:val="0C0C0C"/>
        </w:rPr>
        <w:t xml:space="preserve">, it is the responsibility of the </w:t>
      </w:r>
      <w:r>
        <w:rPr>
          <w:b/>
          <w:color w:val="0C0C0C"/>
        </w:rPr>
        <w:t xml:space="preserve">University of York </w:t>
      </w:r>
      <w:r>
        <w:rPr>
          <w:color w:val="0C0C0C"/>
        </w:rPr>
        <w:t xml:space="preserve">to ensure that the </w:t>
      </w:r>
      <w:r w:rsidR="002E3438">
        <w:rPr>
          <w:color w:val="0C0C0C"/>
        </w:rPr>
        <w:t>Beginning Teacher</w:t>
      </w:r>
      <w:r>
        <w:rPr>
          <w:color w:val="0C0C0C"/>
        </w:rPr>
        <w:t xml:space="preserve"> is not disqualified from childcare, or that the </w:t>
      </w:r>
      <w:r w:rsidR="002E3438">
        <w:rPr>
          <w:color w:val="0C0C0C"/>
        </w:rPr>
        <w:t>Beginning Teacher</w:t>
      </w:r>
      <w:r>
        <w:rPr>
          <w:color w:val="0C0C0C"/>
        </w:rPr>
        <w:t xml:space="preserve"> has obtained a childcare disqualification waiver from Ofsted. This check occurs before registration in the summer preceding the programme start</w:t>
      </w:r>
      <w:r w:rsidR="002E3438">
        <w:rPr>
          <w:color w:val="0C0C0C"/>
        </w:rPr>
        <w:t>s</w:t>
      </w:r>
      <w:r>
        <w:rPr>
          <w:color w:val="0C0C0C"/>
        </w:rPr>
        <w:t>.</w:t>
      </w:r>
    </w:p>
    <w:p w14:paraId="3954DAEC" w14:textId="77777777" w:rsidR="00A03AE9" w:rsidRDefault="00000000">
      <w:r>
        <w:br w:type="page"/>
      </w:r>
    </w:p>
    <w:p w14:paraId="075F6442" w14:textId="77777777" w:rsidR="00A03AE9" w:rsidRDefault="00000000">
      <w:pPr>
        <w:pStyle w:val="Heading1"/>
      </w:pPr>
      <w:bookmarkStart w:id="10" w:name="_Toc172035138"/>
      <w:r>
        <w:lastRenderedPageBreak/>
        <w:t>Appendix 1 – Pre-course DBS Panel Policy Procedure</w:t>
      </w:r>
      <w:bookmarkEnd w:id="10"/>
    </w:p>
    <w:p w14:paraId="7195E741" w14:textId="77777777" w:rsidR="00A03AE9" w:rsidRDefault="00A03AE9">
      <w:pPr>
        <w:shd w:val="clear" w:color="auto" w:fill="FFFFFF"/>
        <w:rPr>
          <w:rFonts w:ascii="Georgia" w:eastAsia="Georgia" w:hAnsi="Georgia" w:cs="Georgia"/>
          <w:color w:val="222222"/>
        </w:rPr>
      </w:pPr>
    </w:p>
    <w:p w14:paraId="1ED59A0F" w14:textId="77777777" w:rsidR="00A03AE9" w:rsidRDefault="00000000">
      <w:pPr>
        <w:rPr>
          <w:rFonts w:ascii="Arial" w:eastAsia="Arial" w:hAnsi="Arial" w:cs="Arial"/>
        </w:rPr>
      </w:pPr>
      <w:r>
        <w:rPr>
          <w:rFonts w:ascii="Arial" w:eastAsia="Arial" w:hAnsi="Arial" w:cs="Arial"/>
        </w:rPr>
        <w:t xml:space="preserve">To address a DBS concern which arises prior to registration, the Partnership has a Safeguarding Committee which looks carefully at each individual case. </w:t>
      </w:r>
    </w:p>
    <w:p w14:paraId="0383E514" w14:textId="77777777" w:rsidR="00A03AE9" w:rsidRDefault="00A03AE9">
      <w:pPr>
        <w:pStyle w:val="Heading2"/>
      </w:pPr>
    </w:p>
    <w:p w14:paraId="75F7E982" w14:textId="77777777" w:rsidR="00A03AE9" w:rsidRDefault="00000000">
      <w:pPr>
        <w:pStyle w:val="Heading2"/>
      </w:pPr>
      <w:bookmarkStart w:id="11" w:name="_Toc172035139"/>
      <w:r>
        <w:t>The Pre-Course DBS Panel</w:t>
      </w:r>
      <w:bookmarkEnd w:id="11"/>
    </w:p>
    <w:p w14:paraId="42C617BD" w14:textId="0CD5EFE1" w:rsidR="00A03AE9" w:rsidRDefault="00000000">
      <w:pPr>
        <w:rPr>
          <w:rFonts w:ascii="Arial" w:eastAsia="Arial" w:hAnsi="Arial" w:cs="Arial"/>
        </w:rPr>
      </w:pPr>
      <w:r>
        <w:rPr>
          <w:rFonts w:ascii="Arial" w:eastAsia="Arial" w:hAnsi="Arial" w:cs="Arial"/>
        </w:rPr>
        <w:t xml:space="preserve">A practising Head teacher and a practising Professional Tutor from the Partnership sit on this committee alongside the Director of Initial Teacher </w:t>
      </w:r>
      <w:r w:rsidR="002E3438">
        <w:rPr>
          <w:rFonts w:ascii="Arial" w:eastAsia="Arial" w:hAnsi="Arial" w:cs="Arial"/>
        </w:rPr>
        <w:t>Education</w:t>
      </w:r>
      <w:r>
        <w:rPr>
          <w:rFonts w:ascii="Arial" w:eastAsia="Arial" w:hAnsi="Arial" w:cs="Arial"/>
        </w:rPr>
        <w:t xml:space="preserve"> (DIT</w:t>
      </w:r>
      <w:r w:rsidR="002E3438">
        <w:rPr>
          <w:rFonts w:ascii="Arial" w:eastAsia="Arial" w:hAnsi="Arial" w:cs="Arial"/>
        </w:rPr>
        <w:t>E</w:t>
      </w:r>
      <w:r>
        <w:rPr>
          <w:rFonts w:ascii="Arial" w:eastAsia="Arial" w:hAnsi="Arial" w:cs="Arial"/>
        </w:rPr>
        <w:t xml:space="preserve">) from the University of York.  </w:t>
      </w:r>
    </w:p>
    <w:p w14:paraId="44897CB6" w14:textId="77777777" w:rsidR="00A03AE9" w:rsidRDefault="00A03AE9">
      <w:pPr>
        <w:pStyle w:val="Heading2"/>
      </w:pPr>
    </w:p>
    <w:p w14:paraId="69821DCB" w14:textId="77777777" w:rsidR="00A03AE9" w:rsidRDefault="00000000">
      <w:pPr>
        <w:pStyle w:val="Heading2"/>
      </w:pPr>
      <w:bookmarkStart w:id="12" w:name="_Toc172035140"/>
      <w:r>
        <w:t>DBS Pre-Course Panel Procedure</w:t>
      </w:r>
      <w:bookmarkEnd w:id="12"/>
      <w:r>
        <w:t xml:space="preserve"> </w:t>
      </w:r>
    </w:p>
    <w:p w14:paraId="3FBDE01E" w14:textId="77777777" w:rsidR="00A03AE9" w:rsidRDefault="00000000">
      <w:pPr>
        <w:rPr>
          <w:rFonts w:ascii="Arial" w:eastAsia="Arial" w:hAnsi="Arial" w:cs="Arial"/>
        </w:rPr>
      </w:pPr>
      <w:r>
        <w:rPr>
          <w:rFonts w:ascii="Arial" w:eastAsia="Arial" w:hAnsi="Arial" w:cs="Arial"/>
        </w:rPr>
        <w:t xml:space="preserve">Evidence is collated confidentially in any such case and securely shared with the Committee prior to the meeting. </w:t>
      </w:r>
    </w:p>
    <w:p w14:paraId="076ECF84" w14:textId="77777777" w:rsidR="002E3438" w:rsidRDefault="002E3438">
      <w:pPr>
        <w:rPr>
          <w:rFonts w:ascii="Arial" w:eastAsia="Arial" w:hAnsi="Arial" w:cs="Arial"/>
        </w:rPr>
      </w:pPr>
    </w:p>
    <w:p w14:paraId="724BC3E6" w14:textId="05A5BEA8" w:rsidR="00A03AE9" w:rsidRDefault="00000000">
      <w:pPr>
        <w:rPr>
          <w:rFonts w:ascii="Arial" w:eastAsia="Arial" w:hAnsi="Arial" w:cs="Arial"/>
        </w:rPr>
      </w:pPr>
      <w:r>
        <w:rPr>
          <w:rFonts w:ascii="Arial" w:eastAsia="Arial" w:hAnsi="Arial" w:cs="Arial"/>
        </w:rPr>
        <w:t>The Headteacher, the DIT</w:t>
      </w:r>
      <w:r w:rsidR="002E3438">
        <w:rPr>
          <w:rFonts w:ascii="Arial" w:eastAsia="Arial" w:hAnsi="Arial" w:cs="Arial"/>
        </w:rPr>
        <w:t>E</w:t>
      </w:r>
      <w:r>
        <w:rPr>
          <w:rFonts w:ascii="Arial" w:eastAsia="Arial" w:hAnsi="Arial" w:cs="Arial"/>
        </w:rPr>
        <w:t xml:space="preserve"> and the Professional Tutor meet to discuss the evidence and make an informed decision on behalf of the IT</w:t>
      </w:r>
      <w:r w:rsidR="002E3438">
        <w:rPr>
          <w:rFonts w:ascii="Arial" w:eastAsia="Arial" w:hAnsi="Arial" w:cs="Arial"/>
        </w:rPr>
        <w:t>E</w:t>
      </w:r>
      <w:r>
        <w:rPr>
          <w:rFonts w:ascii="Arial" w:eastAsia="Arial" w:hAnsi="Arial" w:cs="Arial"/>
        </w:rPr>
        <w:t xml:space="preserve"> Partnership as to whether the listed conviction, offence, caution or warning poses a barrier to entry onto the IT</w:t>
      </w:r>
      <w:r w:rsidR="002E3438">
        <w:rPr>
          <w:rFonts w:ascii="Arial" w:eastAsia="Arial" w:hAnsi="Arial" w:cs="Arial"/>
        </w:rPr>
        <w:t>E</w:t>
      </w:r>
      <w:r>
        <w:rPr>
          <w:rFonts w:ascii="Arial" w:eastAsia="Arial" w:hAnsi="Arial" w:cs="Arial"/>
        </w:rPr>
        <w:t xml:space="preserve"> programme at the University. </w:t>
      </w:r>
    </w:p>
    <w:p w14:paraId="5E05435F" w14:textId="77777777" w:rsidR="002E3438" w:rsidRDefault="002E3438">
      <w:pPr>
        <w:rPr>
          <w:rFonts w:ascii="Arial" w:eastAsia="Arial" w:hAnsi="Arial" w:cs="Arial"/>
        </w:rPr>
      </w:pPr>
    </w:p>
    <w:p w14:paraId="5FA74910" w14:textId="71F7E2E2" w:rsidR="00A03AE9" w:rsidRDefault="00000000">
      <w:pPr>
        <w:rPr>
          <w:rFonts w:ascii="Arial" w:eastAsia="Arial" w:hAnsi="Arial" w:cs="Arial"/>
        </w:rPr>
      </w:pPr>
      <w:r>
        <w:rPr>
          <w:rFonts w:ascii="Arial" w:eastAsia="Arial" w:hAnsi="Arial" w:cs="Arial"/>
        </w:rPr>
        <w:t>Once the Committee has met and made its decision, the DIT</w:t>
      </w:r>
      <w:r w:rsidR="002E3438">
        <w:rPr>
          <w:rFonts w:ascii="Arial" w:eastAsia="Arial" w:hAnsi="Arial" w:cs="Arial"/>
        </w:rPr>
        <w:t>E</w:t>
      </w:r>
      <w:r>
        <w:rPr>
          <w:rFonts w:ascii="Arial" w:eastAsia="Arial" w:hAnsi="Arial" w:cs="Arial"/>
        </w:rPr>
        <w:t xml:space="preserve"> officially notifies the Central Admissions team who then write formally to the candidate concerned. </w:t>
      </w:r>
    </w:p>
    <w:p w14:paraId="2FAAC40E" w14:textId="77777777" w:rsidR="00A03AE9" w:rsidRDefault="00A03AE9">
      <w:pPr>
        <w:pStyle w:val="Heading2"/>
      </w:pPr>
    </w:p>
    <w:p w14:paraId="45300D60" w14:textId="77777777" w:rsidR="00A03AE9" w:rsidRDefault="00000000">
      <w:pPr>
        <w:pStyle w:val="Heading2"/>
      </w:pPr>
      <w:bookmarkStart w:id="13" w:name="_Toc172035141"/>
      <w:r>
        <w:t>PGCE Applicants with Convictions, Offences, Cautions &amp; Warnings</w:t>
      </w:r>
      <w:bookmarkEnd w:id="13"/>
      <w:r>
        <w:t xml:space="preserve"> </w:t>
      </w:r>
    </w:p>
    <w:p w14:paraId="5F7DEFDE" w14:textId="77777777" w:rsidR="00A03AE9" w:rsidRDefault="00000000">
      <w:pPr>
        <w:rPr>
          <w:rFonts w:ascii="Arial" w:eastAsia="Arial" w:hAnsi="Arial" w:cs="Arial"/>
        </w:rPr>
      </w:pPr>
      <w:r>
        <w:rPr>
          <w:rFonts w:ascii="Arial" w:eastAsia="Arial" w:hAnsi="Arial" w:cs="Arial"/>
        </w:rPr>
        <w:t xml:space="preserve">All cases are dealt with on a </w:t>
      </w:r>
      <w:proofErr w:type="gramStart"/>
      <w:r>
        <w:rPr>
          <w:rFonts w:ascii="Arial" w:eastAsia="Arial" w:hAnsi="Arial" w:cs="Arial"/>
        </w:rPr>
        <w:t>case by case</w:t>
      </w:r>
      <w:proofErr w:type="gramEnd"/>
      <w:r>
        <w:rPr>
          <w:rFonts w:ascii="Arial" w:eastAsia="Arial" w:hAnsi="Arial" w:cs="Arial"/>
        </w:rPr>
        <w:t xml:space="preserve"> basis, making use of all evidence available, such as:</w:t>
      </w:r>
    </w:p>
    <w:p w14:paraId="7D68093C" w14:textId="77777777" w:rsidR="00A03AE9" w:rsidRDefault="00000000">
      <w:pPr>
        <w:numPr>
          <w:ilvl w:val="0"/>
          <w:numId w:val="2"/>
        </w:numPr>
        <w:pBdr>
          <w:top w:val="nil"/>
          <w:left w:val="nil"/>
          <w:bottom w:val="nil"/>
          <w:right w:val="nil"/>
          <w:between w:val="nil"/>
        </w:pBdr>
        <w:spacing w:line="259" w:lineRule="auto"/>
        <w:rPr>
          <w:color w:val="000000"/>
        </w:rPr>
      </w:pPr>
      <w:r>
        <w:rPr>
          <w:rFonts w:ascii="Arial" w:eastAsia="Arial" w:hAnsi="Arial" w:cs="Arial"/>
          <w:color w:val="000000"/>
        </w:rPr>
        <w:t>The offence itself and its impact in terms of the degree of harm caused;</w:t>
      </w:r>
    </w:p>
    <w:p w14:paraId="1B375117" w14:textId="77777777" w:rsidR="00A03AE9" w:rsidRDefault="00000000">
      <w:pPr>
        <w:numPr>
          <w:ilvl w:val="0"/>
          <w:numId w:val="2"/>
        </w:numPr>
        <w:pBdr>
          <w:top w:val="nil"/>
          <w:left w:val="nil"/>
          <w:bottom w:val="nil"/>
          <w:right w:val="nil"/>
          <w:between w:val="nil"/>
        </w:pBdr>
        <w:spacing w:line="259" w:lineRule="auto"/>
        <w:rPr>
          <w:color w:val="000000"/>
        </w:rPr>
      </w:pPr>
      <w:r>
        <w:rPr>
          <w:rFonts w:ascii="Arial" w:eastAsia="Arial" w:hAnsi="Arial" w:cs="Arial"/>
          <w:color w:val="000000"/>
        </w:rPr>
        <w:t xml:space="preserve">The circumstances surrounding the offence, including how long ago the offence occurred, the age of the applicant at the time of the incident, what, if any, mitigating factors there were, any repeated and/or related offences, etc; </w:t>
      </w:r>
    </w:p>
    <w:p w14:paraId="342E906F" w14:textId="77777777" w:rsidR="00A03AE9" w:rsidRDefault="00000000">
      <w:pPr>
        <w:numPr>
          <w:ilvl w:val="0"/>
          <w:numId w:val="2"/>
        </w:numPr>
        <w:pBdr>
          <w:top w:val="nil"/>
          <w:left w:val="nil"/>
          <w:bottom w:val="nil"/>
          <w:right w:val="nil"/>
          <w:between w:val="nil"/>
        </w:pBdr>
        <w:spacing w:line="259" w:lineRule="auto"/>
        <w:rPr>
          <w:color w:val="000000"/>
        </w:rPr>
      </w:pPr>
      <w:r>
        <w:rPr>
          <w:rFonts w:ascii="Arial" w:eastAsia="Arial" w:hAnsi="Arial" w:cs="Arial"/>
          <w:color w:val="000000"/>
        </w:rPr>
        <w:t>Any punishment/penalties imposed for the offence;</w:t>
      </w:r>
    </w:p>
    <w:p w14:paraId="7967CB30" w14:textId="77777777" w:rsidR="00A03AE9" w:rsidRDefault="00000000">
      <w:pPr>
        <w:numPr>
          <w:ilvl w:val="0"/>
          <w:numId w:val="2"/>
        </w:numPr>
        <w:pBdr>
          <w:top w:val="nil"/>
          <w:left w:val="nil"/>
          <w:bottom w:val="nil"/>
          <w:right w:val="nil"/>
          <w:between w:val="nil"/>
        </w:pBdr>
        <w:spacing w:line="259" w:lineRule="auto"/>
        <w:rPr>
          <w:color w:val="000000"/>
        </w:rPr>
      </w:pPr>
      <w:r>
        <w:rPr>
          <w:rFonts w:ascii="Arial" w:eastAsia="Arial" w:hAnsi="Arial" w:cs="Arial"/>
          <w:color w:val="000000"/>
        </w:rPr>
        <w:t xml:space="preserve">Whether punishments/penalties have been resolved; </w:t>
      </w:r>
    </w:p>
    <w:p w14:paraId="1DEADA9D" w14:textId="77777777" w:rsidR="00A03AE9" w:rsidRDefault="00000000">
      <w:pPr>
        <w:numPr>
          <w:ilvl w:val="0"/>
          <w:numId w:val="2"/>
        </w:numPr>
        <w:pBdr>
          <w:top w:val="nil"/>
          <w:left w:val="nil"/>
          <w:bottom w:val="nil"/>
          <w:right w:val="nil"/>
          <w:between w:val="nil"/>
        </w:pBdr>
        <w:spacing w:line="259" w:lineRule="auto"/>
        <w:rPr>
          <w:color w:val="000000"/>
        </w:rPr>
      </w:pPr>
      <w:r>
        <w:rPr>
          <w:rFonts w:ascii="Arial" w:eastAsia="Arial" w:hAnsi="Arial" w:cs="Arial"/>
          <w:color w:val="000000"/>
        </w:rPr>
        <w:t xml:space="preserve">Character references; </w:t>
      </w:r>
    </w:p>
    <w:p w14:paraId="55D17B58" w14:textId="0C98EDFC" w:rsidR="00A03AE9" w:rsidRDefault="00000000">
      <w:pPr>
        <w:numPr>
          <w:ilvl w:val="0"/>
          <w:numId w:val="2"/>
        </w:numPr>
        <w:pBdr>
          <w:top w:val="nil"/>
          <w:left w:val="nil"/>
          <w:bottom w:val="nil"/>
          <w:right w:val="nil"/>
          <w:between w:val="nil"/>
        </w:pBdr>
        <w:spacing w:line="259" w:lineRule="auto"/>
        <w:rPr>
          <w:color w:val="000000"/>
        </w:rPr>
      </w:pPr>
      <w:r>
        <w:rPr>
          <w:rFonts w:ascii="Arial" w:eastAsia="Arial" w:hAnsi="Arial" w:cs="Arial"/>
          <w:color w:val="000000"/>
        </w:rPr>
        <w:t xml:space="preserve">Testimonials from relevant professionals e.g. GP. </w:t>
      </w:r>
    </w:p>
    <w:p w14:paraId="6075D5A7" w14:textId="77777777" w:rsidR="00A03AE9" w:rsidRDefault="00000000">
      <w:pPr>
        <w:numPr>
          <w:ilvl w:val="0"/>
          <w:numId w:val="2"/>
        </w:numPr>
        <w:pBdr>
          <w:top w:val="nil"/>
          <w:left w:val="nil"/>
          <w:bottom w:val="nil"/>
          <w:right w:val="nil"/>
          <w:between w:val="nil"/>
        </w:pBdr>
        <w:spacing w:after="160" w:line="259" w:lineRule="auto"/>
        <w:rPr>
          <w:color w:val="000000"/>
        </w:rPr>
      </w:pPr>
      <w:r>
        <w:rPr>
          <w:rFonts w:ascii="Arial" w:eastAsia="Arial" w:hAnsi="Arial" w:cs="Arial"/>
          <w:color w:val="000000"/>
        </w:rPr>
        <w:t xml:space="preserve">The applicant’s current reflections on the offence including what they have learnt from it. </w:t>
      </w:r>
    </w:p>
    <w:p w14:paraId="23925D15" w14:textId="181527FC" w:rsidR="00A03AE9" w:rsidRDefault="00000000">
      <w:pPr>
        <w:rPr>
          <w:rFonts w:ascii="Arial" w:eastAsia="Arial" w:hAnsi="Arial" w:cs="Arial"/>
        </w:rPr>
      </w:pPr>
      <w:r>
        <w:rPr>
          <w:rFonts w:ascii="Arial" w:eastAsia="Arial" w:hAnsi="Arial" w:cs="Arial"/>
        </w:rPr>
        <w:t xml:space="preserve">Given that all cases are dealt with on an individual basis, it is not possible to make absolute pronouncements about convictions/offences/cautions/warnings which the Safeguarding Committee would decide did </w:t>
      </w:r>
      <w:r>
        <w:rPr>
          <w:rFonts w:ascii="Arial" w:eastAsia="Arial" w:hAnsi="Arial" w:cs="Arial"/>
          <w:b/>
        </w:rPr>
        <w:t>not</w:t>
      </w:r>
      <w:r>
        <w:rPr>
          <w:rFonts w:ascii="Arial" w:eastAsia="Arial" w:hAnsi="Arial" w:cs="Arial"/>
        </w:rPr>
        <w:t xml:space="preserve"> pose a barrier to joining an IT</w:t>
      </w:r>
      <w:r w:rsidR="002E3438">
        <w:rPr>
          <w:rFonts w:ascii="Arial" w:eastAsia="Arial" w:hAnsi="Arial" w:cs="Arial"/>
        </w:rPr>
        <w:t>E</w:t>
      </w:r>
      <w:r>
        <w:rPr>
          <w:rFonts w:ascii="Arial" w:eastAsia="Arial" w:hAnsi="Arial" w:cs="Arial"/>
        </w:rPr>
        <w:t xml:space="preserve"> programme. It is likely, however, that offences which suggest no direct safeguarding threat to children/young people would be ones which would permit applicants to start the PGCE course. </w:t>
      </w:r>
    </w:p>
    <w:p w14:paraId="4109BA4F" w14:textId="77777777" w:rsidR="00A03AE9" w:rsidRDefault="00A03AE9">
      <w:pPr>
        <w:rPr>
          <w:rFonts w:ascii="Arial" w:eastAsia="Arial" w:hAnsi="Arial" w:cs="Arial"/>
        </w:rPr>
      </w:pPr>
    </w:p>
    <w:p w14:paraId="2D3D2DB6" w14:textId="1A006B84" w:rsidR="00A03AE9" w:rsidRDefault="00000000">
      <w:pPr>
        <w:rPr>
          <w:rFonts w:ascii="Arial" w:eastAsia="Arial" w:hAnsi="Arial" w:cs="Arial"/>
        </w:rPr>
      </w:pPr>
      <w:r>
        <w:rPr>
          <w:rFonts w:ascii="Arial" w:eastAsia="Arial" w:hAnsi="Arial" w:cs="Arial"/>
        </w:rPr>
        <w:t>When making a decision as to whether a conviction/offence/caution/warning should pose a barrier to joining an IT</w:t>
      </w:r>
      <w:r w:rsidR="002E3438">
        <w:rPr>
          <w:rFonts w:ascii="Arial" w:eastAsia="Arial" w:hAnsi="Arial" w:cs="Arial"/>
        </w:rPr>
        <w:t>E</w:t>
      </w:r>
      <w:r>
        <w:rPr>
          <w:rFonts w:ascii="Arial" w:eastAsia="Arial" w:hAnsi="Arial" w:cs="Arial"/>
        </w:rPr>
        <w:t xml:space="preserve"> programme, the Safeguarding Committee would consider, as a guiding principle, whether the conviction/offence/caution/warning would be a barrier to employment as a teacher and decide accordingly. </w:t>
      </w:r>
    </w:p>
    <w:p w14:paraId="1F0F5DC2" w14:textId="77777777" w:rsidR="00A03AE9" w:rsidRDefault="00A03AE9">
      <w:pPr>
        <w:rPr>
          <w:rFonts w:ascii="Arial" w:eastAsia="Arial" w:hAnsi="Arial" w:cs="Arial"/>
        </w:rPr>
      </w:pPr>
    </w:p>
    <w:p w14:paraId="2B8CAF9F" w14:textId="77777777" w:rsidR="00A03AE9" w:rsidRDefault="00000000">
      <w:pPr>
        <w:rPr>
          <w:rFonts w:ascii="Arial" w:eastAsia="Arial" w:hAnsi="Arial" w:cs="Arial"/>
          <w:color w:val="000000"/>
          <w:highlight w:val="white"/>
        </w:rPr>
      </w:pPr>
      <w:r>
        <w:rPr>
          <w:rFonts w:ascii="Arial" w:eastAsia="Arial" w:hAnsi="Arial" w:cs="Arial"/>
          <w:color w:val="000000"/>
          <w:highlight w:val="white"/>
        </w:rPr>
        <w:t xml:space="preserve">Offences such as those of a violent, extremist and/or sexual nature for which a custodial sentence was served would typically be ones which the Pre-Course DBS Panel would conclude to be a barrier preventing someone from embarking upon their PGCE. </w:t>
      </w:r>
    </w:p>
    <w:p w14:paraId="4F3A3FED" w14:textId="77777777" w:rsidR="00A03AE9" w:rsidRDefault="00A03AE9">
      <w:pPr>
        <w:rPr>
          <w:rFonts w:ascii="Arial" w:eastAsia="Arial" w:hAnsi="Arial" w:cs="Arial"/>
        </w:rPr>
      </w:pPr>
    </w:p>
    <w:p w14:paraId="08B346C9" w14:textId="77777777" w:rsidR="00A03AE9" w:rsidRDefault="00000000">
      <w:pPr>
        <w:pStyle w:val="Heading2"/>
      </w:pPr>
      <w:bookmarkStart w:id="14" w:name="_Toc172035142"/>
      <w:r>
        <w:t>Previous Examples</w:t>
      </w:r>
      <w:bookmarkEnd w:id="14"/>
    </w:p>
    <w:p w14:paraId="60AF3EC5" w14:textId="77777777" w:rsidR="00A03AE9" w:rsidRDefault="00000000">
      <w:pPr>
        <w:rPr>
          <w:rFonts w:ascii="Arial" w:eastAsia="Arial" w:hAnsi="Arial" w:cs="Arial"/>
        </w:rPr>
      </w:pPr>
      <w:r>
        <w:rPr>
          <w:rFonts w:ascii="Arial" w:eastAsia="Arial" w:hAnsi="Arial" w:cs="Arial"/>
        </w:rPr>
        <w:t xml:space="preserve">Examples of past DBS issues which have presented, but where the applicant has ultimately been deemed suitable to start a PGCE course include:  </w:t>
      </w:r>
    </w:p>
    <w:p w14:paraId="3E07FCC9" w14:textId="77777777" w:rsidR="00A03AE9" w:rsidRDefault="00A03AE9">
      <w:pPr>
        <w:rPr>
          <w:rFonts w:ascii="Arial" w:eastAsia="Arial" w:hAnsi="Arial" w:cs="Arial"/>
        </w:rPr>
      </w:pPr>
    </w:p>
    <w:p w14:paraId="5379701A" w14:textId="77777777" w:rsidR="00A03AE9" w:rsidRDefault="00000000">
      <w:pPr>
        <w:numPr>
          <w:ilvl w:val="0"/>
          <w:numId w:val="3"/>
        </w:numPr>
        <w:pBdr>
          <w:top w:val="nil"/>
          <w:left w:val="nil"/>
          <w:bottom w:val="nil"/>
          <w:right w:val="nil"/>
          <w:between w:val="nil"/>
        </w:pBdr>
        <w:spacing w:after="160" w:line="259" w:lineRule="auto"/>
        <w:rPr>
          <w:rFonts w:ascii="Arial" w:eastAsia="Arial" w:hAnsi="Arial" w:cs="Arial"/>
          <w:color w:val="000000"/>
        </w:rPr>
      </w:pPr>
      <w:r>
        <w:rPr>
          <w:rFonts w:ascii="Arial" w:eastAsia="Arial" w:hAnsi="Arial" w:cs="Arial"/>
          <w:color w:val="000000"/>
        </w:rPr>
        <w:t>A one-off act of vandalism/criminal damage to a bus stop when the applicant was an undergraduate and acting under the influence of alcohol</w:t>
      </w:r>
    </w:p>
    <w:p w14:paraId="74CE816A" w14:textId="77777777" w:rsidR="00A03AE9" w:rsidRDefault="00000000">
      <w:pPr>
        <w:spacing w:after="160" w:line="259" w:lineRule="auto"/>
        <w:rPr>
          <w:rFonts w:ascii="Arial" w:eastAsia="Arial" w:hAnsi="Arial" w:cs="Arial"/>
          <w:b/>
        </w:rPr>
      </w:pPr>
      <w:r>
        <w:rPr>
          <w:rFonts w:ascii="Arial" w:eastAsia="Arial" w:hAnsi="Arial" w:cs="Arial"/>
          <w:b/>
        </w:rPr>
        <w:t>Not deemed a barrier to enter teacher training course by panel.</w:t>
      </w:r>
    </w:p>
    <w:p w14:paraId="3147B5E5" w14:textId="77777777" w:rsidR="00A03AE9" w:rsidRDefault="00000000">
      <w:pPr>
        <w:numPr>
          <w:ilvl w:val="0"/>
          <w:numId w:val="3"/>
        </w:numPr>
        <w:pBdr>
          <w:top w:val="nil"/>
          <w:left w:val="nil"/>
          <w:bottom w:val="nil"/>
          <w:right w:val="nil"/>
          <w:between w:val="nil"/>
        </w:pBdr>
        <w:spacing w:after="160" w:line="259" w:lineRule="auto"/>
        <w:rPr>
          <w:rFonts w:ascii="Arial" w:eastAsia="Arial" w:hAnsi="Arial" w:cs="Arial"/>
          <w:color w:val="000000"/>
        </w:rPr>
      </w:pPr>
      <w:r>
        <w:rPr>
          <w:rFonts w:ascii="Arial" w:eastAsia="Arial" w:hAnsi="Arial" w:cs="Arial"/>
          <w:color w:val="000000"/>
        </w:rPr>
        <w:t xml:space="preserve">An applicant who was coerced into cashing a cheque which was later found to be fraudulent; </w:t>
      </w:r>
    </w:p>
    <w:p w14:paraId="2719EBBC" w14:textId="77777777" w:rsidR="00A03AE9" w:rsidRDefault="00000000">
      <w:pPr>
        <w:spacing w:after="160" w:line="259" w:lineRule="auto"/>
        <w:rPr>
          <w:rFonts w:ascii="Arial" w:eastAsia="Arial" w:hAnsi="Arial" w:cs="Arial"/>
          <w:b/>
        </w:rPr>
      </w:pPr>
      <w:r>
        <w:rPr>
          <w:rFonts w:ascii="Arial" w:eastAsia="Arial" w:hAnsi="Arial" w:cs="Arial"/>
          <w:b/>
        </w:rPr>
        <w:t>Not deemed a barrier to enter teacher training course by panel.</w:t>
      </w:r>
    </w:p>
    <w:p w14:paraId="28754119" w14:textId="77777777" w:rsidR="00A03AE9" w:rsidRDefault="00000000">
      <w:pPr>
        <w:numPr>
          <w:ilvl w:val="0"/>
          <w:numId w:val="3"/>
        </w:numPr>
        <w:pBdr>
          <w:top w:val="nil"/>
          <w:left w:val="nil"/>
          <w:bottom w:val="nil"/>
          <w:right w:val="nil"/>
          <w:between w:val="nil"/>
        </w:pBdr>
        <w:spacing w:after="160" w:line="259" w:lineRule="auto"/>
        <w:rPr>
          <w:rFonts w:ascii="Arial" w:eastAsia="Arial" w:hAnsi="Arial" w:cs="Arial"/>
          <w:color w:val="000000"/>
        </w:rPr>
      </w:pPr>
      <w:r>
        <w:rPr>
          <w:rFonts w:ascii="Arial" w:eastAsia="Arial" w:hAnsi="Arial" w:cs="Arial"/>
          <w:color w:val="000000"/>
        </w:rPr>
        <w:t xml:space="preserve">An applicant who was convicted of assaulting a police officer. </w:t>
      </w:r>
    </w:p>
    <w:p w14:paraId="354F1F98" w14:textId="77777777" w:rsidR="00A03AE9" w:rsidRDefault="00000000">
      <w:pPr>
        <w:spacing w:after="160" w:line="259" w:lineRule="auto"/>
        <w:rPr>
          <w:rFonts w:ascii="Arial" w:eastAsia="Arial" w:hAnsi="Arial" w:cs="Arial"/>
          <w:b/>
        </w:rPr>
      </w:pPr>
      <w:r>
        <w:rPr>
          <w:rFonts w:ascii="Arial" w:eastAsia="Arial" w:hAnsi="Arial" w:cs="Arial"/>
          <w:b/>
        </w:rPr>
        <w:t>Not deemed a barrier to enter teacher training course by panel.</w:t>
      </w:r>
    </w:p>
    <w:p w14:paraId="377BD6F2" w14:textId="77777777" w:rsidR="00A03AE9" w:rsidRDefault="00000000">
      <w:pPr>
        <w:rPr>
          <w:rFonts w:ascii="Arial" w:eastAsia="Arial" w:hAnsi="Arial" w:cs="Arial"/>
          <w:color w:val="000000"/>
        </w:rPr>
      </w:pPr>
      <w:r>
        <w:rPr>
          <w:rFonts w:ascii="Arial" w:eastAsia="Arial" w:hAnsi="Arial" w:cs="Arial"/>
          <w:color w:val="000000"/>
        </w:rPr>
        <w:t xml:space="preserve">The applicant was 18 at the time. The applicant was 23 years old at the time of applying for the PGCE course. The offence occurred at a protest/demonstration. The applicant admitted pushing the police officer, but claimed not to have realised the person was a police officer because of the surrounding chaos and the fact that the applicant’s arm was grabbed by the officer who was standing behind her. </w:t>
      </w:r>
    </w:p>
    <w:p w14:paraId="24F1DBC1" w14:textId="77777777" w:rsidR="00A03AE9" w:rsidRDefault="00A03AE9">
      <w:pPr>
        <w:rPr>
          <w:rFonts w:ascii="Arial" w:eastAsia="Arial" w:hAnsi="Arial" w:cs="Arial"/>
          <w:color w:val="000000"/>
        </w:rPr>
      </w:pPr>
    </w:p>
    <w:p w14:paraId="6D884CC8" w14:textId="77777777" w:rsidR="00A03AE9" w:rsidRDefault="00000000">
      <w:pPr>
        <w:rPr>
          <w:rFonts w:ascii="Arial" w:eastAsia="Arial" w:hAnsi="Arial" w:cs="Arial"/>
          <w:color w:val="000000"/>
        </w:rPr>
      </w:pPr>
      <w:r>
        <w:rPr>
          <w:rFonts w:ascii="Arial" w:eastAsia="Arial" w:hAnsi="Arial" w:cs="Arial"/>
          <w:color w:val="000000"/>
        </w:rPr>
        <w:t xml:space="preserve">The offence was caught on CCTV and was deemed to be a push rather than anything more violent and not an intentional act of violence against a serving officer. It was still, however, assault and an assault on a police officer. The applicant was issued with a police caution. </w:t>
      </w:r>
    </w:p>
    <w:p w14:paraId="20F69469" w14:textId="77777777" w:rsidR="00A03AE9" w:rsidRDefault="00A03AE9">
      <w:pPr>
        <w:rPr>
          <w:rFonts w:ascii="Arial" w:eastAsia="Arial" w:hAnsi="Arial" w:cs="Arial"/>
          <w:color w:val="000000"/>
        </w:rPr>
      </w:pPr>
    </w:p>
    <w:p w14:paraId="2EA84E72" w14:textId="77777777" w:rsidR="00A03AE9" w:rsidRDefault="00000000">
      <w:pPr>
        <w:rPr>
          <w:rFonts w:ascii="Arial" w:eastAsia="Arial" w:hAnsi="Arial" w:cs="Arial"/>
          <w:color w:val="000000"/>
        </w:rPr>
      </w:pPr>
      <w:r>
        <w:rPr>
          <w:rFonts w:ascii="Arial" w:eastAsia="Arial" w:hAnsi="Arial" w:cs="Arial"/>
          <w:color w:val="000000"/>
        </w:rPr>
        <w:t xml:space="preserve">If there were no further, similar issues the issue would be removed from the applicant’s DBS after six years had elapsed. At the time of applying for the PGCE course, the caution was due to remain visible on the applicant’s DBS for another year, before being removed. </w:t>
      </w:r>
    </w:p>
    <w:p w14:paraId="09D63E23" w14:textId="77777777" w:rsidR="00A03AE9" w:rsidRDefault="00A03AE9">
      <w:pPr>
        <w:ind w:left="360"/>
        <w:rPr>
          <w:rFonts w:ascii="Arial" w:eastAsia="Arial" w:hAnsi="Arial" w:cs="Arial"/>
          <w:color w:val="000000"/>
        </w:rPr>
      </w:pPr>
    </w:p>
    <w:p w14:paraId="7B1A8C91" w14:textId="77777777" w:rsidR="00A03AE9" w:rsidRDefault="00000000">
      <w:pPr>
        <w:rPr>
          <w:rFonts w:ascii="Arial" w:eastAsia="Arial" w:hAnsi="Arial" w:cs="Arial"/>
          <w:color w:val="000000"/>
          <w:highlight w:val="white"/>
        </w:rPr>
      </w:pPr>
      <w:r>
        <w:rPr>
          <w:rFonts w:ascii="Arial" w:eastAsia="Arial" w:hAnsi="Arial" w:cs="Arial"/>
          <w:color w:val="000000"/>
          <w:highlight w:val="white"/>
        </w:rPr>
        <w:t xml:space="preserve">In example 3, the offence was assault and therefore an offence of a violent nature, however the applicant received a police caution rather than a custodial sentence and the caution was due to be removed from the applicant’s DBS record after a period of 6 years had elapsed). </w:t>
      </w:r>
    </w:p>
    <w:p w14:paraId="448F9E4C" w14:textId="77777777" w:rsidR="00A03AE9" w:rsidRDefault="00A03AE9">
      <w:pPr>
        <w:rPr>
          <w:rFonts w:ascii="Arial" w:eastAsia="Arial" w:hAnsi="Arial" w:cs="Arial"/>
          <w:color w:val="000000"/>
        </w:rPr>
      </w:pPr>
    </w:p>
    <w:p w14:paraId="54B89A9B" w14:textId="77777777" w:rsidR="00A03AE9" w:rsidRDefault="00000000">
      <w:pPr>
        <w:pStyle w:val="Heading1"/>
      </w:pPr>
      <w:bookmarkStart w:id="15" w:name="_Toc172035143"/>
      <w:r>
        <w:t>Appendix 2 – Fitness to Practise Policy and Procedure</w:t>
      </w:r>
      <w:bookmarkEnd w:id="15"/>
    </w:p>
    <w:p w14:paraId="491013B6" w14:textId="77777777" w:rsidR="00A03AE9" w:rsidRDefault="00000000">
      <w:pPr>
        <w:rPr>
          <w:rFonts w:ascii="Arial" w:eastAsia="Arial" w:hAnsi="Arial" w:cs="Arial"/>
          <w:color w:val="000000"/>
        </w:rPr>
      </w:pPr>
      <w:r>
        <w:rPr>
          <w:rFonts w:ascii="Arial" w:eastAsia="Arial" w:hAnsi="Arial" w:cs="Arial"/>
          <w:color w:val="000000"/>
        </w:rPr>
        <w:t xml:space="preserve">During the training year safeguarding issues are dealt with through the University of York Fitness to Practise Policy. Please follow </w:t>
      </w:r>
      <w:commentRangeStart w:id="16"/>
      <w:r>
        <w:fldChar w:fldCharType="begin"/>
      </w:r>
      <w:r>
        <w:instrText>HYPERLINK "https://www.york.ac.uk/education/pgce/mentors/mentorslibrary/" \h</w:instrText>
      </w:r>
      <w:r>
        <w:fldChar w:fldCharType="separate"/>
      </w:r>
      <w:r>
        <w:rPr>
          <w:rFonts w:ascii="Arial" w:eastAsia="Arial" w:hAnsi="Arial" w:cs="Arial"/>
          <w:color w:val="0563C1"/>
          <w:u w:val="single"/>
        </w:rPr>
        <w:t>this link</w:t>
      </w:r>
      <w:r>
        <w:rPr>
          <w:rFonts w:ascii="Arial" w:eastAsia="Arial" w:hAnsi="Arial" w:cs="Arial"/>
          <w:color w:val="0563C1"/>
          <w:u w:val="single"/>
        </w:rPr>
        <w:fldChar w:fldCharType="end"/>
      </w:r>
      <w:commentRangeEnd w:id="16"/>
      <w:r w:rsidR="002E3438">
        <w:rPr>
          <w:rStyle w:val="CommentReference"/>
        </w:rPr>
        <w:commentReference w:id="16"/>
      </w:r>
      <w:r>
        <w:rPr>
          <w:rFonts w:ascii="Arial" w:eastAsia="Arial" w:hAnsi="Arial" w:cs="Arial"/>
          <w:color w:val="000000"/>
        </w:rPr>
        <w:t xml:space="preserve"> to find the </w:t>
      </w:r>
      <w:proofErr w:type="gramStart"/>
      <w:r>
        <w:rPr>
          <w:rFonts w:ascii="Arial" w:eastAsia="Arial" w:hAnsi="Arial" w:cs="Arial"/>
          <w:color w:val="000000"/>
        </w:rPr>
        <w:t>up to date</w:t>
      </w:r>
      <w:proofErr w:type="gramEnd"/>
      <w:r>
        <w:rPr>
          <w:rFonts w:ascii="Arial" w:eastAsia="Arial" w:hAnsi="Arial" w:cs="Arial"/>
          <w:color w:val="000000"/>
        </w:rPr>
        <w:t xml:space="preserve"> University of York Fitness to Practise Procedure and Policy.</w:t>
      </w:r>
    </w:p>
    <w:sectPr w:rsidR="00A03AE9">
      <w:pgSz w:w="11900" w:h="16840"/>
      <w:pgMar w:top="1440" w:right="1440" w:bottom="1440" w:left="1440" w:header="720" w:footer="720" w:gutter="0"/>
      <w:pgNumType w:start="1"/>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5" w:author="Claire Ball-Smith" w:date="2024-07-16T15:07:00Z" w:initials="CBS">
    <w:p w14:paraId="444F3D1D" w14:textId="2136ADA9" w:rsidR="002E3438" w:rsidRDefault="002E3438">
      <w:pPr>
        <w:pStyle w:val="CommentText"/>
      </w:pPr>
      <w:r>
        <w:rPr>
          <w:rStyle w:val="CommentReference"/>
        </w:rPr>
        <w:annotationRef/>
      </w:r>
      <w:r>
        <w:t>Updated 24/25 Policy link needs adding here when ready.</w:t>
      </w:r>
    </w:p>
  </w:comment>
  <w:comment w:id="6" w:author="Claire Ball-Smith" w:date="2024-07-16T15:07:00Z" w:initials="CBS">
    <w:p w14:paraId="49B0DEE5" w14:textId="524B1EC1" w:rsidR="002E3438" w:rsidRDefault="002E3438">
      <w:pPr>
        <w:pStyle w:val="CommentText"/>
      </w:pPr>
      <w:r>
        <w:rPr>
          <w:rStyle w:val="CommentReference"/>
        </w:rPr>
        <w:annotationRef/>
      </w:r>
      <w:r>
        <w:t>Check link still works to website</w:t>
      </w:r>
    </w:p>
  </w:comment>
  <w:comment w:id="16" w:author="Claire Ball-Smith" w:date="2024-07-16T15:11:00Z" w:initials="CBS">
    <w:p w14:paraId="1D29764E" w14:textId="1D6C30C8" w:rsidR="002E3438" w:rsidRDefault="002E3438">
      <w:pPr>
        <w:pStyle w:val="CommentText"/>
      </w:pPr>
      <w:r>
        <w:rPr>
          <w:rStyle w:val="CommentReference"/>
        </w:rPr>
        <w:annotationRef/>
      </w:r>
      <w:r>
        <w:t>2024-25 - Insert up to date link to 2024/25 FTP Policy</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444F3D1D" w15:done="0"/>
  <w15:commentEx w15:paraId="49B0DEE5" w15:done="0"/>
  <w15:commentEx w15:paraId="1D29764E"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794C7B49" w16cex:dateUtc="2024-07-16T14:07:00Z"/>
  <w16cex:commentExtensible w16cex:durableId="3E0095B8" w16cex:dateUtc="2024-07-16T14:07:00Z"/>
  <w16cex:commentExtensible w16cex:durableId="023D4EA0" w16cex:dateUtc="2024-07-16T14:1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44F3D1D" w16cid:durableId="794C7B49"/>
  <w16cid:commentId w16cid:paraId="49B0DEE5" w16cid:durableId="3E0095B8"/>
  <w16cid:commentId w16cid:paraId="1D29764E" w16cid:durableId="023D4EA0"/>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2200BF" w14:textId="77777777" w:rsidR="00A25661" w:rsidRDefault="00A25661">
      <w:r>
        <w:separator/>
      </w:r>
    </w:p>
  </w:endnote>
  <w:endnote w:type="continuationSeparator" w:id="0">
    <w:p w14:paraId="5B589D0B" w14:textId="77777777" w:rsidR="00A25661" w:rsidRDefault="00A256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panose1 w:val="020B0604020202020204"/>
    <w:charset w:val="00"/>
    <w:family w:val="auto"/>
    <w:pitch w:val="default"/>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21CF22" w14:textId="77777777" w:rsidR="00A25661" w:rsidRDefault="00A25661">
      <w:r>
        <w:separator/>
      </w:r>
    </w:p>
  </w:footnote>
  <w:footnote w:type="continuationSeparator" w:id="0">
    <w:p w14:paraId="0568570F" w14:textId="77777777" w:rsidR="00A25661" w:rsidRDefault="00A25661">
      <w:r>
        <w:continuationSeparator/>
      </w:r>
    </w:p>
  </w:footnote>
  <w:footnote w:id="1">
    <w:p w14:paraId="3D9ECB2A" w14:textId="77777777" w:rsidR="00A03AE9" w:rsidRDefault="00000000">
      <w:pPr>
        <w:pBdr>
          <w:top w:val="nil"/>
          <w:left w:val="nil"/>
          <w:bottom w:val="nil"/>
          <w:right w:val="nil"/>
          <w:between w:val="nil"/>
        </w:pBdr>
        <w:rPr>
          <w:color w:val="000000"/>
          <w:sz w:val="20"/>
          <w:szCs w:val="20"/>
        </w:rPr>
      </w:pPr>
      <w:r>
        <w:rPr>
          <w:vertAlign w:val="superscript"/>
        </w:rPr>
        <w:footnoteRef/>
      </w:r>
      <w:r>
        <w:rPr>
          <w:color w:val="000000"/>
          <w:sz w:val="20"/>
          <w:szCs w:val="20"/>
        </w:rPr>
        <w:t xml:space="preserve"> See </w:t>
      </w:r>
      <w:hyperlink r:id="rId1">
        <w:r w:rsidR="002E3438">
          <w:rPr>
            <w:color w:val="0563C1"/>
            <w:sz w:val="20"/>
            <w:szCs w:val="20"/>
            <w:u w:val="single"/>
          </w:rPr>
          <w:t>Keeping Children Safe in Education</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347D8C"/>
    <w:multiLevelType w:val="multilevel"/>
    <w:tmpl w:val="83E694CA"/>
    <w:lvl w:ilvl="0">
      <w:start w:val="1"/>
      <w:numFmt w:val="bullet"/>
      <w:lvlText w:val="●"/>
      <w:lvlJc w:val="left"/>
      <w:pPr>
        <w:ind w:left="360" w:hanging="360"/>
      </w:pPr>
      <w:rPr>
        <w:rFonts w:ascii="Noto Sans Symbols" w:eastAsia="Noto Sans Symbols" w:hAnsi="Noto Sans Symbols" w:cs="Noto Sans Symbols"/>
        <w:sz w:val="20"/>
        <w:szCs w:val="20"/>
      </w:rPr>
    </w:lvl>
    <w:lvl w:ilvl="1">
      <w:start w:val="1"/>
      <w:numFmt w:val="bullet"/>
      <w:lvlText w:val="●"/>
      <w:lvlJc w:val="left"/>
      <w:pPr>
        <w:ind w:left="1080" w:hanging="360"/>
      </w:pPr>
      <w:rPr>
        <w:rFonts w:ascii="Noto Sans Symbols" w:eastAsia="Noto Sans Symbols" w:hAnsi="Noto Sans Symbols" w:cs="Noto Sans Symbols"/>
        <w:sz w:val="20"/>
        <w:szCs w:val="20"/>
      </w:rPr>
    </w:lvl>
    <w:lvl w:ilvl="2">
      <w:start w:val="1"/>
      <w:numFmt w:val="bullet"/>
      <w:lvlText w:val="●"/>
      <w:lvlJc w:val="left"/>
      <w:pPr>
        <w:ind w:left="1800" w:hanging="360"/>
      </w:pPr>
      <w:rPr>
        <w:rFonts w:ascii="Noto Sans Symbols" w:eastAsia="Noto Sans Symbols" w:hAnsi="Noto Sans Symbols" w:cs="Noto Sans Symbols"/>
        <w:sz w:val="20"/>
        <w:szCs w:val="20"/>
      </w:rPr>
    </w:lvl>
    <w:lvl w:ilvl="3">
      <w:start w:val="1"/>
      <w:numFmt w:val="bullet"/>
      <w:lvlText w:val="●"/>
      <w:lvlJc w:val="left"/>
      <w:pPr>
        <w:ind w:left="2520" w:hanging="360"/>
      </w:pPr>
      <w:rPr>
        <w:rFonts w:ascii="Noto Sans Symbols" w:eastAsia="Noto Sans Symbols" w:hAnsi="Noto Sans Symbols" w:cs="Noto Sans Symbols"/>
        <w:sz w:val="20"/>
        <w:szCs w:val="20"/>
      </w:rPr>
    </w:lvl>
    <w:lvl w:ilvl="4">
      <w:start w:val="1"/>
      <w:numFmt w:val="bullet"/>
      <w:lvlText w:val="●"/>
      <w:lvlJc w:val="left"/>
      <w:pPr>
        <w:ind w:left="3240" w:hanging="360"/>
      </w:pPr>
      <w:rPr>
        <w:rFonts w:ascii="Noto Sans Symbols" w:eastAsia="Noto Sans Symbols" w:hAnsi="Noto Sans Symbols" w:cs="Noto Sans Symbols"/>
        <w:sz w:val="20"/>
        <w:szCs w:val="20"/>
      </w:rPr>
    </w:lvl>
    <w:lvl w:ilvl="5">
      <w:start w:val="1"/>
      <w:numFmt w:val="bullet"/>
      <w:lvlText w:val="●"/>
      <w:lvlJc w:val="left"/>
      <w:pPr>
        <w:ind w:left="3960" w:hanging="360"/>
      </w:pPr>
      <w:rPr>
        <w:rFonts w:ascii="Noto Sans Symbols" w:eastAsia="Noto Sans Symbols" w:hAnsi="Noto Sans Symbols" w:cs="Noto Sans Symbols"/>
        <w:sz w:val="20"/>
        <w:szCs w:val="20"/>
      </w:rPr>
    </w:lvl>
    <w:lvl w:ilvl="6">
      <w:start w:val="1"/>
      <w:numFmt w:val="bullet"/>
      <w:lvlText w:val="●"/>
      <w:lvlJc w:val="left"/>
      <w:pPr>
        <w:ind w:left="4680" w:hanging="360"/>
      </w:pPr>
      <w:rPr>
        <w:rFonts w:ascii="Noto Sans Symbols" w:eastAsia="Noto Sans Symbols" w:hAnsi="Noto Sans Symbols" w:cs="Noto Sans Symbols"/>
        <w:sz w:val="20"/>
        <w:szCs w:val="20"/>
      </w:rPr>
    </w:lvl>
    <w:lvl w:ilvl="7">
      <w:start w:val="1"/>
      <w:numFmt w:val="bullet"/>
      <w:lvlText w:val="●"/>
      <w:lvlJc w:val="left"/>
      <w:pPr>
        <w:ind w:left="5400" w:hanging="360"/>
      </w:pPr>
      <w:rPr>
        <w:rFonts w:ascii="Noto Sans Symbols" w:eastAsia="Noto Sans Symbols" w:hAnsi="Noto Sans Symbols" w:cs="Noto Sans Symbols"/>
        <w:sz w:val="20"/>
        <w:szCs w:val="20"/>
      </w:rPr>
    </w:lvl>
    <w:lvl w:ilvl="8">
      <w:start w:val="1"/>
      <w:numFmt w:val="bullet"/>
      <w:lvlText w:val="●"/>
      <w:lvlJc w:val="left"/>
      <w:pPr>
        <w:ind w:left="6120" w:hanging="360"/>
      </w:pPr>
      <w:rPr>
        <w:rFonts w:ascii="Noto Sans Symbols" w:eastAsia="Noto Sans Symbols" w:hAnsi="Noto Sans Symbols" w:cs="Noto Sans Symbols"/>
        <w:sz w:val="20"/>
        <w:szCs w:val="20"/>
      </w:rPr>
    </w:lvl>
  </w:abstractNum>
  <w:abstractNum w:abstractNumId="1" w15:restartNumberingAfterBreak="0">
    <w:nsid w:val="2CB44098"/>
    <w:multiLevelType w:val="multilevel"/>
    <w:tmpl w:val="7FDEE564"/>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 w15:restartNumberingAfterBreak="0">
    <w:nsid w:val="5B0C2186"/>
    <w:multiLevelType w:val="multilevel"/>
    <w:tmpl w:val="93D0016C"/>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 w15:restartNumberingAfterBreak="0">
    <w:nsid w:val="5E9671D9"/>
    <w:multiLevelType w:val="multilevel"/>
    <w:tmpl w:val="B2ECB64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64A1447F"/>
    <w:multiLevelType w:val="multilevel"/>
    <w:tmpl w:val="E91C57E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684C7FBC"/>
    <w:multiLevelType w:val="multilevel"/>
    <w:tmpl w:val="4DD2F3C0"/>
    <w:lvl w:ilvl="0">
      <w:start w:val="1"/>
      <w:numFmt w:val="decimal"/>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2105031409">
    <w:abstractNumId w:val="3"/>
  </w:num>
  <w:num w:numId="2" w16cid:durableId="1203638921">
    <w:abstractNumId w:val="4"/>
  </w:num>
  <w:num w:numId="3" w16cid:durableId="1995066925">
    <w:abstractNumId w:val="5"/>
  </w:num>
  <w:num w:numId="4" w16cid:durableId="2033191182">
    <w:abstractNumId w:val="0"/>
  </w:num>
  <w:num w:numId="5" w16cid:durableId="1780948838">
    <w:abstractNumId w:val="1"/>
  </w:num>
  <w:num w:numId="6" w16cid:durableId="1728527797">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Claire Ball-Smith">
    <w15:presenceInfo w15:providerId="None" w15:userId="Claire Ball-Smith"/>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3AE9"/>
    <w:rsid w:val="002E3438"/>
    <w:rsid w:val="00A03AE9"/>
    <w:rsid w:val="00A25661"/>
    <w:rsid w:val="00AD1911"/>
    <w:rsid w:val="00D477D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78287CF8"/>
  <w15:docId w15:val="{403D50A8-2BB9-9243-95CF-6F3946DF9D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4"/>
        <w:szCs w:val="24"/>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240"/>
      <w:outlineLvl w:val="0"/>
    </w:pPr>
    <w:rPr>
      <w:color w:val="2F5496"/>
      <w:sz w:val="32"/>
      <w:szCs w:val="32"/>
    </w:rPr>
  </w:style>
  <w:style w:type="paragraph" w:styleId="Heading2">
    <w:name w:val="heading 2"/>
    <w:basedOn w:val="Normal"/>
    <w:next w:val="Normal"/>
    <w:uiPriority w:val="9"/>
    <w:unhideWhenUsed/>
    <w:qFormat/>
    <w:pPr>
      <w:keepNext/>
      <w:keepLines/>
      <w:spacing w:before="40"/>
      <w:outlineLvl w:val="1"/>
    </w:pPr>
    <w:rPr>
      <w:color w:val="2F5496"/>
      <w:sz w:val="26"/>
      <w:szCs w:val="2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rPr>
      <w:rFonts w:ascii="Arial" w:eastAsia="Arial" w:hAnsi="Arial" w:cs="Arial"/>
      <w:b/>
      <w:sz w:val="40"/>
      <w:szCs w:val="40"/>
      <w:highlight w:val="whit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CommentReference">
    <w:name w:val="annotation reference"/>
    <w:basedOn w:val="DefaultParagraphFont"/>
    <w:uiPriority w:val="99"/>
    <w:semiHidden/>
    <w:unhideWhenUsed/>
    <w:rsid w:val="002E3438"/>
    <w:rPr>
      <w:sz w:val="16"/>
      <w:szCs w:val="16"/>
    </w:rPr>
  </w:style>
  <w:style w:type="paragraph" w:styleId="CommentText">
    <w:name w:val="annotation text"/>
    <w:basedOn w:val="Normal"/>
    <w:link w:val="CommentTextChar"/>
    <w:uiPriority w:val="99"/>
    <w:semiHidden/>
    <w:unhideWhenUsed/>
    <w:rsid w:val="002E3438"/>
    <w:rPr>
      <w:sz w:val="20"/>
      <w:szCs w:val="20"/>
    </w:rPr>
  </w:style>
  <w:style w:type="character" w:customStyle="1" w:styleId="CommentTextChar">
    <w:name w:val="Comment Text Char"/>
    <w:basedOn w:val="DefaultParagraphFont"/>
    <w:link w:val="CommentText"/>
    <w:uiPriority w:val="99"/>
    <w:semiHidden/>
    <w:rsid w:val="002E3438"/>
    <w:rPr>
      <w:sz w:val="20"/>
      <w:szCs w:val="20"/>
    </w:rPr>
  </w:style>
  <w:style w:type="paragraph" w:styleId="CommentSubject">
    <w:name w:val="annotation subject"/>
    <w:basedOn w:val="CommentText"/>
    <w:next w:val="CommentText"/>
    <w:link w:val="CommentSubjectChar"/>
    <w:uiPriority w:val="99"/>
    <w:semiHidden/>
    <w:unhideWhenUsed/>
    <w:rsid w:val="002E3438"/>
    <w:rPr>
      <w:b/>
      <w:bCs/>
    </w:rPr>
  </w:style>
  <w:style w:type="character" w:customStyle="1" w:styleId="CommentSubjectChar">
    <w:name w:val="Comment Subject Char"/>
    <w:basedOn w:val="CommentTextChar"/>
    <w:link w:val="CommentSubject"/>
    <w:uiPriority w:val="99"/>
    <w:semiHidden/>
    <w:rsid w:val="002E3438"/>
    <w:rPr>
      <w:b/>
      <w:bCs/>
      <w:sz w:val="20"/>
      <w:szCs w:val="20"/>
    </w:rPr>
  </w:style>
  <w:style w:type="paragraph" w:styleId="TOC1">
    <w:name w:val="toc 1"/>
    <w:basedOn w:val="Normal"/>
    <w:next w:val="Normal"/>
    <w:autoRedefine/>
    <w:uiPriority w:val="39"/>
    <w:unhideWhenUsed/>
    <w:rsid w:val="002E3438"/>
    <w:pPr>
      <w:spacing w:after="100"/>
    </w:pPr>
  </w:style>
  <w:style w:type="paragraph" w:styleId="TOC2">
    <w:name w:val="toc 2"/>
    <w:basedOn w:val="Normal"/>
    <w:next w:val="Normal"/>
    <w:autoRedefine/>
    <w:uiPriority w:val="39"/>
    <w:unhideWhenUsed/>
    <w:rsid w:val="002E3438"/>
    <w:pPr>
      <w:spacing w:after="100"/>
      <w:ind w:left="240"/>
    </w:pPr>
  </w:style>
  <w:style w:type="character" w:styleId="Hyperlink">
    <w:name w:val="Hyperlink"/>
    <w:basedOn w:val="DefaultParagraphFont"/>
    <w:uiPriority w:val="99"/>
    <w:unhideWhenUsed/>
    <w:rsid w:val="002E343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microsoft.com/office/2018/08/relationships/commentsExtensible" Target="commentsExtensible.xml"/><Relationship Id="rId3" Type="http://schemas.openxmlformats.org/officeDocument/2006/relationships/settings" Target="settings.xml"/><Relationship Id="rId7" Type="http://schemas.openxmlformats.org/officeDocument/2006/relationships/image" Target="media/image1.png"/><Relationship Id="rId12" Type="http://schemas.microsoft.com/office/2016/09/relationships/commentsIds" Target="commentsIds.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microsoft.com/office/2011/relationships/commentsExtended" Target="commentsExtended.xml"/><Relationship Id="rId5" Type="http://schemas.openxmlformats.org/officeDocument/2006/relationships/footnotes" Target="footnotes.xml"/><Relationship Id="rId15" Type="http://schemas.microsoft.com/office/2011/relationships/people" Target="people.xml"/><Relationship Id="rId10" Type="http://schemas.openxmlformats.org/officeDocument/2006/relationships/comments" Target="comments.xml"/><Relationship Id="rId4" Type="http://schemas.openxmlformats.org/officeDocument/2006/relationships/webSettings" Target="webSettings.xml"/><Relationship Id="rId9" Type="http://schemas.openxmlformats.org/officeDocument/2006/relationships/hyperlink" Target="https://www.gov.uk/government/publications/keeping-children-safe-in-education--2" TargetMode="Externa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gov.uk/government/publications/keeping-children-safe-in-education--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7</Pages>
  <Words>2103</Words>
  <Characters>11991</Characters>
  <Application>Microsoft Office Word</Application>
  <DocSecurity>0</DocSecurity>
  <Lines>99</Lines>
  <Paragraphs>28</Paragraphs>
  <ScaleCrop>false</ScaleCrop>
  <Company/>
  <LinksUpToDate>false</LinksUpToDate>
  <CharactersWithSpaces>14066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Claire Ball-Smith</cp:lastModifiedBy>
  <cp:revision>3</cp:revision>
  <dcterms:created xsi:type="dcterms:W3CDTF">2024-07-16T14:02:00Z</dcterms:created>
  <dcterms:modified xsi:type="dcterms:W3CDTF">2024-07-16T14:11:00Z</dcterms:modified>
</cp:coreProperties>
</file>